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A8748">
      <w:pPr>
        <w:jc w:val="center"/>
        <w:rPr>
          <w:rFonts w:cs="Arial"/>
          <w:sz w:val="22"/>
          <w:lang w:val="ro-RO" w:eastAsia="en-GB"/>
        </w:rPr>
      </w:pPr>
      <w:bookmarkStart w:id="121" w:name="_GoBack"/>
      <w:bookmarkEnd w:id="121"/>
    </w:p>
    <w:p w14:paraId="72EE69B4">
      <w:pPr>
        <w:jc w:val="center"/>
        <w:rPr>
          <w:rFonts w:cs="Arial"/>
          <w:sz w:val="22"/>
          <w:lang w:val="ro-RO" w:eastAsia="en-GB"/>
        </w:rPr>
      </w:pPr>
    </w:p>
    <w:p w14:paraId="0E23403B">
      <w:pPr>
        <w:jc w:val="center"/>
        <w:rPr>
          <w:rFonts w:cs="Arial"/>
          <w:b/>
          <w:bCs/>
          <w:sz w:val="22"/>
          <w:lang w:val="ro-RO" w:eastAsia="en-GB"/>
        </w:rPr>
      </w:pPr>
    </w:p>
    <w:p w14:paraId="7D6FC233">
      <w:pPr>
        <w:jc w:val="center"/>
        <w:rPr>
          <w:rFonts w:cs="Arial"/>
          <w:b/>
          <w:bCs/>
          <w:sz w:val="22"/>
          <w:lang w:val="ro-RO" w:eastAsia="en-GB"/>
        </w:rPr>
      </w:pPr>
    </w:p>
    <w:p w14:paraId="66088ABC">
      <w:pPr>
        <w:jc w:val="center"/>
        <w:rPr>
          <w:rFonts w:cs="Arial"/>
          <w:b/>
          <w:bCs/>
          <w:sz w:val="22"/>
          <w:lang w:val="ro-RO" w:eastAsia="en-GB"/>
        </w:rPr>
      </w:pPr>
      <w:r>
        <w:rPr>
          <w:rFonts w:cs="Arial"/>
          <w:b/>
          <w:bCs/>
          <w:sz w:val="22"/>
          <w:lang w:val="ro-RO" w:eastAsia="en-GB"/>
        </w:rPr>
        <w:t>STRATEGIA DE DEZVOLTARE LOCALĂ A COMUNEI ȘIMIAN</w:t>
      </w:r>
    </w:p>
    <w:p w14:paraId="7D1E385D">
      <w:pPr>
        <w:jc w:val="center"/>
        <w:rPr>
          <w:rFonts w:cs="Arial"/>
          <w:sz w:val="22"/>
          <w:lang w:val="ro-RO" w:eastAsia="en-GB"/>
        </w:rPr>
      </w:pPr>
      <w:r>
        <w:rPr>
          <w:rFonts w:cs="Arial"/>
          <w:sz w:val="22"/>
          <w:lang w:val="ro-RO" w:eastAsia="en-GB"/>
        </w:rPr>
        <w:t>2025 - 2027</w:t>
      </w:r>
    </w:p>
    <w:p w14:paraId="5E9CDF0E">
      <w:pPr>
        <w:jc w:val="center"/>
        <w:rPr>
          <w:rFonts w:cs="Arial"/>
          <w:sz w:val="22"/>
          <w:lang w:val="ro-RO" w:eastAsia="en-GB"/>
        </w:rPr>
      </w:pPr>
    </w:p>
    <w:p w14:paraId="52B62879">
      <w:pPr>
        <w:jc w:val="center"/>
        <w:rPr>
          <w:rFonts w:cs="Arial"/>
          <w:sz w:val="22"/>
          <w:lang w:val="ro-RO" w:eastAsia="en-GB"/>
        </w:rPr>
      </w:pPr>
    </w:p>
    <w:p w14:paraId="225E1683">
      <w:pPr>
        <w:jc w:val="center"/>
        <w:rPr>
          <w:rFonts w:cs="Arial"/>
          <w:sz w:val="22"/>
          <w:lang w:val="ro-RO" w:eastAsia="en-GB"/>
        </w:rPr>
      </w:pPr>
      <w:r>
        <w:rPr>
          <w:rFonts w:cs="Arial"/>
          <w:sz w:val="22"/>
          <w:lang w:val="ro-RO" w:eastAsia="en-GB"/>
        </w:rPr>
        <w:t>ACTUALIZARE</w:t>
      </w:r>
    </w:p>
    <w:p w14:paraId="6E8611B3">
      <w:pPr>
        <w:jc w:val="center"/>
        <w:rPr>
          <w:rFonts w:cs="Arial"/>
          <w:sz w:val="22"/>
          <w:lang w:val="ro-RO" w:eastAsia="en-GB"/>
        </w:rPr>
      </w:pPr>
      <w:r>
        <w:rPr>
          <w:rFonts w:cs="Arial"/>
          <w:sz w:val="22"/>
          <w:lang w:val="ro-RO" w:eastAsia="en-GB"/>
        </w:rPr>
        <w:t>iunie 2025</w:t>
      </w:r>
    </w:p>
    <w:p w14:paraId="38F7E2D9">
      <w:pPr>
        <w:jc w:val="center"/>
        <w:rPr>
          <w:rFonts w:cs="Arial"/>
          <w:sz w:val="22"/>
          <w:lang w:val="ro-RO" w:eastAsia="en-GB"/>
        </w:rPr>
      </w:pPr>
    </w:p>
    <w:p w14:paraId="0FBFEDAD">
      <w:pPr>
        <w:jc w:val="center"/>
        <w:rPr>
          <w:rFonts w:cs="Arial"/>
          <w:sz w:val="22"/>
          <w:lang w:val="ro-RO" w:eastAsia="en-GB"/>
        </w:rPr>
      </w:pPr>
    </w:p>
    <w:p w14:paraId="1906BA3F">
      <w:pPr>
        <w:jc w:val="center"/>
        <w:rPr>
          <w:rFonts w:cs="Arial"/>
          <w:sz w:val="22"/>
          <w:lang w:val="ro-RO" w:eastAsia="en-GB"/>
        </w:rPr>
      </w:pPr>
    </w:p>
    <w:p w14:paraId="2084EF09">
      <w:pPr>
        <w:jc w:val="center"/>
        <w:rPr>
          <w:rFonts w:cs="Arial"/>
          <w:sz w:val="22"/>
          <w:lang w:val="ro-RO" w:eastAsia="en-GB"/>
        </w:rPr>
      </w:pPr>
    </w:p>
    <w:p w14:paraId="04DB3D2C">
      <w:pPr>
        <w:jc w:val="center"/>
        <w:rPr>
          <w:rFonts w:cs="Arial"/>
          <w:sz w:val="22"/>
          <w:lang w:val="ro-RO" w:eastAsia="en-GB"/>
        </w:rPr>
      </w:pPr>
    </w:p>
    <w:p w14:paraId="0686682F">
      <w:pPr>
        <w:jc w:val="center"/>
        <w:rPr>
          <w:rFonts w:cs="Arial"/>
          <w:sz w:val="22"/>
          <w:lang w:val="ro-RO" w:eastAsia="en-GB"/>
        </w:rPr>
      </w:pPr>
    </w:p>
    <w:p w14:paraId="5394EC97">
      <w:pPr>
        <w:jc w:val="center"/>
        <w:rPr>
          <w:rFonts w:cs="Arial"/>
          <w:sz w:val="22"/>
          <w:lang w:val="ro-RO" w:eastAsia="en-GB"/>
        </w:rPr>
      </w:pPr>
    </w:p>
    <w:p w14:paraId="6208140F">
      <w:pPr>
        <w:jc w:val="center"/>
        <w:rPr>
          <w:rFonts w:cs="Arial"/>
          <w:sz w:val="22"/>
          <w:lang w:val="ro-RO" w:eastAsia="en-GB"/>
        </w:rPr>
      </w:pPr>
    </w:p>
    <w:p w14:paraId="090C6A0F">
      <w:pPr>
        <w:jc w:val="center"/>
        <w:rPr>
          <w:rFonts w:cs="Arial"/>
          <w:sz w:val="22"/>
          <w:lang w:val="ro-RO" w:eastAsia="en-GB"/>
        </w:rPr>
      </w:pPr>
    </w:p>
    <w:p w14:paraId="012709CF">
      <w:pPr>
        <w:jc w:val="center"/>
        <w:rPr>
          <w:rFonts w:cs="Arial"/>
          <w:sz w:val="22"/>
          <w:lang w:val="ro-RO" w:eastAsia="en-GB"/>
        </w:rPr>
      </w:pPr>
    </w:p>
    <w:p w14:paraId="6969D316">
      <w:pPr>
        <w:jc w:val="center"/>
        <w:rPr>
          <w:rFonts w:cs="Arial"/>
          <w:sz w:val="22"/>
          <w:lang w:val="ro-RO" w:eastAsia="en-GB"/>
        </w:rPr>
      </w:pPr>
    </w:p>
    <w:p w14:paraId="2934A43B">
      <w:pPr>
        <w:jc w:val="center"/>
        <w:rPr>
          <w:rFonts w:cs="Arial"/>
          <w:sz w:val="22"/>
          <w:lang w:val="ro-RO" w:eastAsia="en-GB"/>
        </w:rPr>
      </w:pPr>
    </w:p>
    <w:p w14:paraId="3BE41468">
      <w:pPr>
        <w:jc w:val="center"/>
        <w:rPr>
          <w:rFonts w:cs="Arial"/>
          <w:sz w:val="22"/>
          <w:lang w:val="ro-RO" w:eastAsia="en-GB"/>
        </w:rPr>
      </w:pPr>
    </w:p>
    <w:p w14:paraId="00F31623">
      <w:pPr>
        <w:jc w:val="center"/>
        <w:rPr>
          <w:rFonts w:cs="Arial"/>
          <w:sz w:val="22"/>
          <w:lang w:val="ro-RO" w:eastAsia="en-GB"/>
        </w:rPr>
      </w:pPr>
    </w:p>
    <w:p w14:paraId="3AE17680">
      <w:pPr>
        <w:jc w:val="center"/>
        <w:rPr>
          <w:rFonts w:cs="Arial"/>
          <w:sz w:val="22"/>
          <w:lang w:val="ro-RO" w:eastAsia="en-GB"/>
        </w:rPr>
      </w:pPr>
    </w:p>
    <w:p w14:paraId="6F03A567">
      <w:pPr>
        <w:jc w:val="center"/>
        <w:rPr>
          <w:rFonts w:cs="Arial"/>
          <w:sz w:val="22"/>
          <w:lang w:val="ro-RO" w:eastAsia="en-GB"/>
        </w:rPr>
      </w:pPr>
    </w:p>
    <w:p w14:paraId="23587D3C">
      <w:pPr>
        <w:jc w:val="center"/>
        <w:rPr>
          <w:rFonts w:cs="Arial"/>
          <w:sz w:val="22"/>
          <w:lang w:val="ro-RO" w:eastAsia="en-GB"/>
        </w:rPr>
      </w:pPr>
    </w:p>
    <w:p w14:paraId="7D494638">
      <w:pPr>
        <w:jc w:val="center"/>
        <w:rPr>
          <w:rFonts w:cs="Arial"/>
          <w:sz w:val="22"/>
          <w:lang w:val="ro-RO" w:eastAsia="en-GB"/>
        </w:rPr>
      </w:pPr>
    </w:p>
    <w:p w14:paraId="4C6B9F45">
      <w:pPr>
        <w:jc w:val="left"/>
        <w:rPr>
          <w:rFonts w:cs="Arial"/>
          <w:sz w:val="22"/>
          <w:lang w:val="ro-RO" w:eastAsia="en-GB"/>
        </w:rPr>
      </w:pPr>
      <w:r>
        <w:rPr>
          <w:rFonts w:cs="Arial"/>
          <w:sz w:val="22"/>
          <w:lang w:val="ro-RO" w:eastAsia="en-GB"/>
        </w:rPr>
        <w:t>Primăria comunei Șimian, jud. Mehedinți                         Aprobat prin HCL nr....</w:t>
      </w:r>
    </w:p>
    <w:p w14:paraId="33FB4465">
      <w:pPr>
        <w:jc w:val="left"/>
        <w:rPr>
          <w:rFonts w:cs="Arial"/>
          <w:sz w:val="22"/>
          <w:lang w:val="ro-RO" w:eastAsia="en-GB"/>
        </w:rPr>
      </w:pPr>
      <w:r>
        <w:rPr>
          <w:rFonts w:cs="Arial"/>
          <w:sz w:val="22"/>
          <w:lang w:val="ro-RO" w:eastAsia="en-GB"/>
        </w:rPr>
        <w:t>Primar: Constantin Trușcă                                                                Data:..</w:t>
      </w:r>
    </w:p>
    <w:p w14:paraId="0724927D">
      <w:pPr>
        <w:jc w:val="left"/>
        <w:rPr>
          <w:rFonts w:cs="Arial"/>
          <w:sz w:val="22"/>
          <w:lang w:val="ro-RO" w:eastAsia="en-GB"/>
        </w:rPr>
      </w:pPr>
      <w:r>
        <w:rPr>
          <w:rFonts w:cs="Arial"/>
          <w:sz w:val="22"/>
          <w:lang w:val="ro-RO" w:eastAsia="en-GB"/>
        </w:rPr>
        <w:t>Semnătura..........................</w:t>
      </w:r>
    </w:p>
    <w:p w14:paraId="78A1E855">
      <w:pPr>
        <w:jc w:val="center"/>
        <w:rPr>
          <w:rFonts w:cs="Arial"/>
          <w:sz w:val="22"/>
          <w:lang w:val="ro-RO" w:eastAsia="en-GB"/>
        </w:rPr>
      </w:pPr>
    </w:p>
    <w:p w14:paraId="19A8AD5E">
      <w:pPr>
        <w:jc w:val="center"/>
        <w:rPr>
          <w:rFonts w:cs="Arial"/>
          <w:sz w:val="22"/>
          <w:lang w:val="ro-RO" w:eastAsia="en-GB"/>
        </w:rPr>
      </w:pPr>
    </w:p>
    <w:p w14:paraId="2D436CC8">
      <w:pPr>
        <w:jc w:val="center"/>
        <w:rPr>
          <w:rFonts w:cs="Arial"/>
          <w:sz w:val="22"/>
          <w:lang w:val="ro-RO" w:eastAsia="en-GB"/>
        </w:rPr>
      </w:pPr>
    </w:p>
    <w:p w14:paraId="0C190506">
      <w:pPr>
        <w:jc w:val="center"/>
        <w:rPr>
          <w:rFonts w:cs="Arial"/>
          <w:sz w:val="22"/>
          <w:lang w:val="ro-RO" w:eastAsia="en-GB"/>
        </w:rPr>
      </w:pPr>
    </w:p>
    <w:p w14:paraId="26C964B7">
      <w:pPr>
        <w:jc w:val="center"/>
        <w:rPr>
          <w:rFonts w:cs="Arial"/>
          <w:sz w:val="22"/>
          <w:lang w:val="ro-RO" w:eastAsia="en-GB"/>
        </w:rPr>
      </w:pPr>
    </w:p>
    <w:p w14:paraId="60BF7D7B">
      <w:pPr>
        <w:jc w:val="center"/>
        <w:rPr>
          <w:rFonts w:cs="Arial"/>
          <w:sz w:val="22"/>
          <w:lang w:val="ro-RO" w:eastAsia="en-GB"/>
        </w:rPr>
      </w:pPr>
    </w:p>
    <w:p w14:paraId="2F446082">
      <w:pPr>
        <w:rPr>
          <w:rFonts w:cs="Arial"/>
          <w:sz w:val="22"/>
          <w:lang w:val="ro-RO"/>
        </w:rPr>
      </w:pPr>
    </w:p>
    <w:sdt>
      <w:sdtPr>
        <w:rPr>
          <w:rFonts w:ascii="Arial" w:hAnsi="Arial" w:cs="Arial" w:eastAsiaTheme="minorHAnsi"/>
          <w:color w:val="auto"/>
          <w:sz w:val="22"/>
          <w:szCs w:val="22"/>
          <w:lang w:val="ro-RO"/>
        </w:rPr>
        <w:id w:val="-1822024803"/>
        <w:docPartObj>
          <w:docPartGallery w:val="Table of Contents"/>
          <w:docPartUnique/>
        </w:docPartObj>
      </w:sdtPr>
      <w:sdtEndPr>
        <w:rPr>
          <w:rFonts w:ascii="Arial" w:hAnsi="Arial" w:cs="Arial" w:eastAsiaTheme="minorHAnsi"/>
          <w:b/>
          <w:bCs/>
          <w:color w:val="auto"/>
          <w:sz w:val="22"/>
          <w:szCs w:val="22"/>
          <w:lang w:val="ro-RO"/>
        </w:rPr>
      </w:sdtEndPr>
      <w:sdtContent>
        <w:p w14:paraId="40FA4E8B">
          <w:pPr>
            <w:pStyle w:val="50"/>
            <w:rPr>
              <w:rFonts w:ascii="Arial" w:hAnsi="Arial" w:cs="Arial"/>
              <w:sz w:val="22"/>
              <w:szCs w:val="22"/>
              <w:lang w:val="ro-RO"/>
            </w:rPr>
          </w:pPr>
          <w:r>
            <w:rPr>
              <w:rFonts w:ascii="Arial" w:hAnsi="Arial" w:cs="Arial"/>
              <w:sz w:val="22"/>
              <w:szCs w:val="22"/>
              <w:lang w:val="ro-RO"/>
            </w:rPr>
            <w:t>Contents</w:t>
          </w:r>
        </w:p>
        <w:p w14:paraId="60A9B429">
          <w:pPr>
            <w:pStyle w:val="28"/>
            <w:tabs>
              <w:tab w:val="right" w:leader="dot" w:pos="9629"/>
            </w:tabs>
            <w:rPr>
              <w:rFonts w:cs="Arial" w:eastAsiaTheme="minorEastAsia"/>
              <w:kern w:val="2"/>
              <w:sz w:val="22"/>
              <w14:ligatures w14:val="standardContextual"/>
            </w:rPr>
          </w:pPr>
          <w:r>
            <w:rPr>
              <w:rFonts w:cs="Arial"/>
              <w:sz w:val="22"/>
              <w:lang w:val="ro-RO"/>
            </w:rPr>
            <w:fldChar w:fldCharType="begin"/>
          </w:r>
          <w:r>
            <w:rPr>
              <w:rFonts w:cs="Arial"/>
              <w:sz w:val="22"/>
              <w:lang w:val="ro-RO"/>
            </w:rPr>
            <w:instrText xml:space="preserve"> TOC \o "1-3" \h \z \u </w:instrText>
          </w:r>
          <w:r>
            <w:rPr>
              <w:rFonts w:cs="Arial"/>
              <w:sz w:val="22"/>
              <w:lang w:val="ro-RO"/>
            </w:rPr>
            <w:fldChar w:fldCharType="separate"/>
          </w:r>
          <w:r>
            <w:fldChar w:fldCharType="begin"/>
          </w:r>
          <w:r>
            <w:instrText xml:space="preserve"> HYPERLINK \l "_Toc201926290" </w:instrText>
          </w:r>
          <w:r>
            <w:fldChar w:fldCharType="separate"/>
          </w:r>
          <w:r>
            <w:rPr>
              <w:rStyle w:val="24"/>
              <w:rFonts w:cs="Arial"/>
              <w:sz w:val="22"/>
              <w:lang w:val="ro-RO"/>
            </w:rPr>
            <w:t>CAPITOLUL 1</w:t>
          </w:r>
          <w:r>
            <w:rPr>
              <w:rFonts w:cs="Arial"/>
              <w:sz w:val="22"/>
            </w:rPr>
            <w:tab/>
          </w:r>
          <w:r>
            <w:rPr>
              <w:rFonts w:cs="Arial"/>
              <w:sz w:val="22"/>
            </w:rPr>
            <w:fldChar w:fldCharType="begin"/>
          </w:r>
          <w:r>
            <w:rPr>
              <w:rFonts w:cs="Arial"/>
              <w:sz w:val="22"/>
            </w:rPr>
            <w:instrText xml:space="preserve"> PAGEREF _Toc201926290 \h </w:instrText>
          </w:r>
          <w:r>
            <w:rPr>
              <w:rFonts w:cs="Arial"/>
              <w:sz w:val="22"/>
            </w:rPr>
            <w:fldChar w:fldCharType="separate"/>
          </w:r>
          <w:r>
            <w:rPr>
              <w:rFonts w:cs="Arial"/>
              <w:sz w:val="22"/>
            </w:rPr>
            <w:t>5</w:t>
          </w:r>
          <w:r>
            <w:rPr>
              <w:rFonts w:cs="Arial"/>
              <w:sz w:val="22"/>
            </w:rPr>
            <w:fldChar w:fldCharType="end"/>
          </w:r>
          <w:r>
            <w:rPr>
              <w:rFonts w:cs="Arial"/>
              <w:sz w:val="22"/>
            </w:rPr>
            <w:fldChar w:fldCharType="end"/>
          </w:r>
        </w:p>
        <w:p w14:paraId="697165E1">
          <w:pPr>
            <w:pStyle w:val="28"/>
            <w:tabs>
              <w:tab w:val="right" w:leader="dot" w:pos="9629"/>
            </w:tabs>
            <w:rPr>
              <w:rFonts w:cs="Arial" w:eastAsiaTheme="minorEastAsia"/>
              <w:kern w:val="2"/>
              <w:sz w:val="22"/>
              <w14:ligatures w14:val="standardContextual"/>
            </w:rPr>
          </w:pPr>
          <w:r>
            <w:fldChar w:fldCharType="begin"/>
          </w:r>
          <w:r>
            <w:instrText xml:space="preserve"> HYPERLINK \l "_Toc201926291" </w:instrText>
          </w:r>
          <w:r>
            <w:fldChar w:fldCharType="separate"/>
          </w:r>
          <w:r>
            <w:rPr>
              <w:rStyle w:val="24"/>
              <w:rFonts w:cs="Arial"/>
              <w:sz w:val="22"/>
              <w:lang w:val="ro-RO"/>
            </w:rPr>
            <w:t>PARTEA INTRODUCTIVĂ</w:t>
          </w:r>
          <w:r>
            <w:rPr>
              <w:rFonts w:cs="Arial"/>
              <w:sz w:val="22"/>
            </w:rPr>
            <w:tab/>
          </w:r>
          <w:r>
            <w:rPr>
              <w:rFonts w:cs="Arial"/>
              <w:sz w:val="22"/>
            </w:rPr>
            <w:fldChar w:fldCharType="begin"/>
          </w:r>
          <w:r>
            <w:rPr>
              <w:rFonts w:cs="Arial"/>
              <w:sz w:val="22"/>
            </w:rPr>
            <w:instrText xml:space="preserve"> PAGEREF _Toc201926291 \h </w:instrText>
          </w:r>
          <w:r>
            <w:rPr>
              <w:rFonts w:cs="Arial"/>
              <w:sz w:val="22"/>
            </w:rPr>
            <w:fldChar w:fldCharType="separate"/>
          </w:r>
          <w:r>
            <w:rPr>
              <w:rFonts w:cs="Arial"/>
              <w:sz w:val="22"/>
            </w:rPr>
            <w:t>5</w:t>
          </w:r>
          <w:r>
            <w:rPr>
              <w:rFonts w:cs="Arial"/>
              <w:sz w:val="22"/>
            </w:rPr>
            <w:fldChar w:fldCharType="end"/>
          </w:r>
          <w:r>
            <w:rPr>
              <w:rFonts w:cs="Arial"/>
              <w:sz w:val="22"/>
            </w:rPr>
            <w:fldChar w:fldCharType="end"/>
          </w:r>
        </w:p>
        <w:p w14:paraId="3E5E528A">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"_Toc201926292" </w:instrText>
          </w:r>
          <w:r>
            <w:fldChar w:fldCharType="separate"/>
          </w:r>
          <w:r>
            <w:rPr>
              <w:rStyle w:val="24"/>
              <w:rFonts w:cs="Arial"/>
              <w:sz w:val="22"/>
              <w:lang w:val="ro-RO"/>
            </w:rPr>
            <w:t>1.1.</w:t>
          </w:r>
          <w:r>
            <w:rPr>
              <w:rFonts w:cs="Arial" w:eastAsiaTheme="minorEastAsia"/>
              <w:kern w:val="2"/>
              <w:sz w:val="22"/>
              <w14:ligatures w14:val="standardContextual"/>
            </w:rPr>
            <w:tab/>
          </w:r>
          <w:r>
            <w:rPr>
              <w:rStyle w:val="24"/>
              <w:rFonts w:cs="Arial"/>
              <w:sz w:val="22"/>
              <w:lang w:val="ro-RO"/>
            </w:rPr>
            <w:t>Prezentare metodologică</w:t>
          </w:r>
          <w:r>
            <w:rPr>
              <w:rFonts w:cs="Arial"/>
              <w:sz w:val="22"/>
            </w:rPr>
            <w:tab/>
          </w:r>
          <w:r>
            <w:rPr>
              <w:rFonts w:cs="Arial"/>
              <w:sz w:val="22"/>
            </w:rPr>
            <w:fldChar w:fldCharType="begin"/>
          </w:r>
          <w:r>
            <w:rPr>
              <w:rFonts w:cs="Arial"/>
              <w:sz w:val="22"/>
            </w:rPr>
            <w:instrText xml:space="preserve"> PAGEREF _Toc201926292 \h </w:instrText>
          </w:r>
          <w:r>
            <w:rPr>
              <w:rFonts w:cs="Arial"/>
              <w:sz w:val="22"/>
            </w:rPr>
            <w:fldChar w:fldCharType="separate"/>
          </w:r>
          <w:r>
            <w:rPr>
              <w:rFonts w:cs="Arial"/>
              <w:sz w:val="22"/>
            </w:rPr>
            <w:t>14</w:t>
          </w:r>
          <w:r>
            <w:rPr>
              <w:rFonts w:cs="Arial"/>
              <w:sz w:val="22"/>
            </w:rPr>
            <w:fldChar w:fldCharType="end"/>
          </w:r>
          <w:r>
            <w:rPr>
              <w:rFonts w:cs="Arial"/>
              <w:sz w:val="22"/>
            </w:rPr>
            <w:fldChar w:fldCharType="end"/>
          </w:r>
        </w:p>
        <w:p w14:paraId="43913DE4">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"_Toc201926293" </w:instrText>
          </w:r>
          <w:r>
            <w:fldChar w:fldCharType="separate"/>
          </w:r>
          <w:r>
            <w:rPr>
              <w:rStyle w:val="24"/>
              <w:rFonts w:cs="Arial"/>
              <w:sz w:val="22"/>
              <w:lang w:val="ro-RO"/>
            </w:rPr>
            <w:t>1.2.</w:t>
          </w:r>
          <w:r>
            <w:rPr>
              <w:rFonts w:cs="Arial" w:eastAsiaTheme="minorEastAsia"/>
              <w:kern w:val="2"/>
              <w:sz w:val="22"/>
              <w14:ligatures w14:val="standardContextual"/>
            </w:rPr>
            <w:tab/>
          </w:r>
          <w:r>
            <w:rPr>
              <w:rStyle w:val="24"/>
              <w:rFonts w:cs="Arial"/>
              <w:sz w:val="22"/>
              <w:lang w:val="ro-RO"/>
            </w:rPr>
            <w:t>Contextul european</w:t>
          </w:r>
          <w:r>
            <w:rPr>
              <w:rFonts w:cs="Arial"/>
              <w:sz w:val="22"/>
            </w:rPr>
            <w:tab/>
          </w:r>
          <w:r>
            <w:rPr>
              <w:rFonts w:cs="Arial"/>
              <w:sz w:val="22"/>
            </w:rPr>
            <w:fldChar w:fldCharType="begin"/>
          </w:r>
          <w:r>
            <w:rPr>
              <w:rFonts w:cs="Arial"/>
              <w:sz w:val="22"/>
            </w:rPr>
            <w:instrText xml:space="preserve"> PAGEREF _Toc201926293 \h </w:instrText>
          </w:r>
          <w:r>
            <w:rPr>
              <w:rFonts w:cs="Arial"/>
              <w:sz w:val="22"/>
            </w:rPr>
            <w:fldChar w:fldCharType="separate"/>
          </w:r>
          <w:r>
            <w:rPr>
              <w:rFonts w:cs="Arial"/>
              <w:sz w:val="22"/>
            </w:rPr>
            <w:t>18</w:t>
          </w:r>
          <w:r>
            <w:rPr>
              <w:rFonts w:cs="Arial"/>
              <w:sz w:val="22"/>
            </w:rPr>
            <w:fldChar w:fldCharType="end"/>
          </w:r>
          <w:r>
            <w:rPr>
              <w:rFonts w:cs="Arial"/>
              <w:sz w:val="22"/>
            </w:rPr>
            <w:fldChar w:fldCharType="end"/>
          </w:r>
        </w:p>
        <w:p w14:paraId="360031CA">
          <w:pPr>
            <w:pStyle w:val="28"/>
            <w:tabs>
              <w:tab w:val="right" w:leader="dot" w:pos="9629"/>
            </w:tabs>
            <w:rPr>
              <w:rFonts w:cs="Arial" w:eastAsiaTheme="minorEastAsia"/>
              <w:kern w:val="2"/>
              <w:sz w:val="22"/>
              <w14:ligatures w14:val="standardContextual"/>
            </w:rPr>
          </w:pPr>
          <w:r>
            <w:fldChar w:fldCharType="begin"/>
          </w:r>
          <w:r>
            <w:instrText xml:space="preserve"> HYPERLINK \l "_Toc201926294" </w:instrText>
          </w:r>
          <w:r>
            <w:fldChar w:fldCharType="separate"/>
          </w:r>
          <w:r>
            <w:rPr>
              <w:rStyle w:val="24"/>
              <w:rFonts w:cs="Arial"/>
              <w:sz w:val="22"/>
              <w:lang w:val="ro-RO"/>
            </w:rPr>
            <w:t>CAPITOLUL 2</w:t>
          </w:r>
          <w:r>
            <w:rPr>
              <w:rFonts w:cs="Arial"/>
              <w:sz w:val="22"/>
            </w:rPr>
            <w:tab/>
          </w:r>
          <w:r>
            <w:rPr>
              <w:rFonts w:cs="Arial"/>
              <w:sz w:val="22"/>
            </w:rPr>
            <w:fldChar w:fldCharType="begin"/>
          </w:r>
          <w:r>
            <w:rPr>
              <w:rFonts w:cs="Arial"/>
              <w:sz w:val="22"/>
            </w:rPr>
            <w:instrText xml:space="preserve"> PAGEREF _Toc201926294 \h </w:instrText>
          </w:r>
          <w:r>
            <w:rPr>
              <w:rFonts w:cs="Arial"/>
              <w:sz w:val="22"/>
            </w:rPr>
            <w:fldChar w:fldCharType="separate"/>
          </w:r>
          <w:r>
            <w:rPr>
              <w:rFonts w:cs="Arial"/>
              <w:sz w:val="22"/>
            </w:rPr>
            <w:t>21</w:t>
          </w:r>
          <w:r>
            <w:rPr>
              <w:rFonts w:cs="Arial"/>
              <w:sz w:val="22"/>
            </w:rPr>
            <w:fldChar w:fldCharType="end"/>
          </w:r>
          <w:r>
            <w:rPr>
              <w:rFonts w:cs="Arial"/>
              <w:sz w:val="22"/>
            </w:rPr>
            <w:fldChar w:fldCharType="end"/>
          </w:r>
        </w:p>
        <w:p w14:paraId="4082E3AE">
          <w:pPr>
            <w:pStyle w:val="28"/>
            <w:tabs>
              <w:tab w:val="right" w:leader="dot" w:pos="9629"/>
            </w:tabs>
            <w:rPr>
              <w:rFonts w:cs="Arial" w:eastAsiaTheme="minorEastAsia"/>
              <w:kern w:val="2"/>
              <w:sz w:val="22"/>
              <w14:ligatures w14:val="standardContextual"/>
            </w:rPr>
          </w:pPr>
          <w:r>
            <w:fldChar w:fldCharType="begin"/>
          </w:r>
          <w:r>
            <w:instrText xml:space="preserve"> HYPERLINK \l "_Toc201926295" </w:instrText>
          </w:r>
          <w:r>
            <w:fldChar w:fldCharType="separate"/>
          </w:r>
          <w:r>
            <w:rPr>
              <w:rStyle w:val="24"/>
              <w:rFonts w:cs="Arial"/>
              <w:sz w:val="22"/>
              <w:lang w:val="ro-RO"/>
            </w:rPr>
            <w:t>PREZENTARE GENERALĂ</w:t>
          </w:r>
          <w:r>
            <w:rPr>
              <w:rFonts w:cs="Arial"/>
              <w:sz w:val="22"/>
            </w:rPr>
            <w:tab/>
          </w:r>
          <w:r>
            <w:rPr>
              <w:rFonts w:cs="Arial"/>
              <w:sz w:val="22"/>
            </w:rPr>
            <w:fldChar w:fldCharType="begin"/>
          </w:r>
          <w:r>
            <w:rPr>
              <w:rFonts w:cs="Arial"/>
              <w:sz w:val="22"/>
            </w:rPr>
            <w:instrText xml:space="preserve"> PAGEREF _Toc201926295 \h </w:instrText>
          </w:r>
          <w:r>
            <w:rPr>
              <w:rFonts w:cs="Arial"/>
              <w:sz w:val="22"/>
            </w:rPr>
            <w:fldChar w:fldCharType="separate"/>
          </w:r>
          <w:r>
            <w:rPr>
              <w:rFonts w:cs="Arial"/>
              <w:sz w:val="22"/>
            </w:rPr>
            <w:t>21</w:t>
          </w:r>
          <w:r>
            <w:rPr>
              <w:rFonts w:cs="Arial"/>
              <w:sz w:val="22"/>
            </w:rPr>
            <w:fldChar w:fldCharType="end"/>
          </w:r>
          <w:r>
            <w:rPr>
              <w:rFonts w:cs="Arial"/>
              <w:sz w:val="22"/>
            </w:rPr>
            <w:fldChar w:fldCharType="end"/>
          </w:r>
        </w:p>
        <w:p w14:paraId="7865671E">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"_Toc201926296" </w:instrText>
          </w:r>
          <w:r>
            <w:fldChar w:fldCharType="separate"/>
          </w:r>
          <w:r>
            <w:rPr>
              <w:rStyle w:val="24"/>
              <w:rFonts w:cs="Arial"/>
              <w:sz w:val="22"/>
              <w:lang w:val="ro-RO"/>
            </w:rPr>
            <w:t>2.1.</w:t>
          </w:r>
          <w:r>
            <w:rPr>
              <w:rFonts w:cs="Arial" w:eastAsiaTheme="minorEastAsia"/>
              <w:kern w:val="2"/>
              <w:sz w:val="22"/>
              <w14:ligatures w14:val="standardContextual"/>
            </w:rPr>
            <w:tab/>
          </w:r>
          <w:r>
            <w:rPr>
              <w:rStyle w:val="24"/>
              <w:rFonts w:cs="Arial"/>
              <w:sz w:val="22"/>
              <w:lang w:val="ro-RO"/>
            </w:rPr>
            <w:t>Poziționare geografică</w:t>
          </w:r>
          <w:r>
            <w:rPr>
              <w:rFonts w:cs="Arial"/>
              <w:sz w:val="22"/>
            </w:rPr>
            <w:tab/>
          </w:r>
          <w:r>
            <w:rPr>
              <w:rFonts w:cs="Arial"/>
              <w:sz w:val="22"/>
            </w:rPr>
            <w:fldChar w:fldCharType="begin"/>
          </w:r>
          <w:r>
            <w:rPr>
              <w:rFonts w:cs="Arial"/>
              <w:sz w:val="22"/>
            </w:rPr>
            <w:instrText xml:space="preserve"> PAGEREF _Toc201926296 \h </w:instrText>
          </w:r>
          <w:r>
            <w:rPr>
              <w:rFonts w:cs="Arial"/>
              <w:sz w:val="22"/>
            </w:rPr>
            <w:fldChar w:fldCharType="separate"/>
          </w:r>
          <w:r>
            <w:rPr>
              <w:rFonts w:cs="Arial"/>
              <w:sz w:val="22"/>
            </w:rPr>
            <w:t>21</w:t>
          </w:r>
          <w:r>
            <w:rPr>
              <w:rFonts w:cs="Arial"/>
              <w:sz w:val="22"/>
            </w:rPr>
            <w:fldChar w:fldCharType="end"/>
          </w:r>
          <w:r>
            <w:rPr>
              <w:rFonts w:cs="Arial"/>
              <w:sz w:val="22"/>
            </w:rPr>
            <w:fldChar w:fldCharType="end"/>
          </w:r>
        </w:p>
        <w:p w14:paraId="6531F317">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"_Toc201926297" </w:instrText>
          </w:r>
          <w:r>
            <w:fldChar w:fldCharType="separate"/>
          </w:r>
          <w:r>
            <w:rPr>
              <w:rStyle w:val="24"/>
              <w:rFonts w:cs="Arial"/>
              <w:sz w:val="22"/>
              <w:lang w:val="ro-RO"/>
            </w:rPr>
            <w:t>2.2.</w:t>
          </w:r>
          <w:r>
            <w:rPr>
              <w:rFonts w:cs="Arial" w:eastAsiaTheme="minorEastAsia"/>
              <w:kern w:val="2"/>
              <w:sz w:val="22"/>
              <w14:ligatures w14:val="standardContextual"/>
            </w:rPr>
            <w:tab/>
          </w:r>
          <w:r>
            <w:rPr>
              <w:rStyle w:val="24"/>
              <w:rFonts w:cs="Arial"/>
              <w:sz w:val="22"/>
              <w:lang w:val="ro-RO"/>
            </w:rPr>
            <w:t>Cadrul natural</w:t>
          </w:r>
          <w:r>
            <w:rPr>
              <w:rFonts w:cs="Arial"/>
              <w:sz w:val="22"/>
            </w:rPr>
            <w:tab/>
          </w:r>
          <w:r>
            <w:rPr>
              <w:rFonts w:cs="Arial"/>
              <w:sz w:val="22"/>
            </w:rPr>
            <w:fldChar w:fldCharType="begin"/>
          </w:r>
          <w:r>
            <w:rPr>
              <w:rFonts w:cs="Arial"/>
              <w:sz w:val="22"/>
            </w:rPr>
            <w:instrText xml:space="preserve"> PAGEREF _Toc201926297 \h </w:instrText>
          </w:r>
          <w:r>
            <w:rPr>
              <w:rFonts w:cs="Arial"/>
              <w:sz w:val="22"/>
            </w:rPr>
            <w:fldChar w:fldCharType="separate"/>
          </w:r>
          <w:r>
            <w:rPr>
              <w:rFonts w:cs="Arial"/>
              <w:sz w:val="22"/>
            </w:rPr>
            <w:t>24</w:t>
          </w:r>
          <w:r>
            <w:rPr>
              <w:rFonts w:cs="Arial"/>
              <w:sz w:val="22"/>
            </w:rPr>
            <w:fldChar w:fldCharType="end"/>
          </w:r>
          <w:r>
            <w:rPr>
              <w:rFonts w:cs="Arial"/>
              <w:sz w:val="22"/>
            </w:rPr>
            <w:fldChar w:fldCharType="end"/>
          </w:r>
        </w:p>
        <w:p w14:paraId="4847A9AC">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"_Toc201926298" </w:instrText>
          </w:r>
          <w:r>
            <w:fldChar w:fldCharType="separate"/>
          </w:r>
          <w:r>
            <w:rPr>
              <w:rStyle w:val="24"/>
              <w:rFonts w:cs="Arial"/>
              <w:sz w:val="22"/>
              <w:lang w:val="ro-RO"/>
            </w:rPr>
            <w:t>2.3.</w:t>
          </w:r>
          <w:r>
            <w:rPr>
              <w:rFonts w:cs="Arial" w:eastAsiaTheme="minorEastAsia"/>
              <w:kern w:val="2"/>
              <w:sz w:val="22"/>
              <w14:ligatures w14:val="standardContextual"/>
            </w:rPr>
            <w:tab/>
          </w:r>
          <w:r>
            <w:rPr>
              <w:rStyle w:val="24"/>
              <w:rFonts w:cs="Arial"/>
              <w:sz w:val="22"/>
              <w:lang w:val="ro-RO"/>
            </w:rPr>
            <w:t>Clima</w:t>
          </w:r>
          <w:r>
            <w:rPr>
              <w:rFonts w:cs="Arial"/>
              <w:sz w:val="22"/>
            </w:rPr>
            <w:tab/>
          </w:r>
          <w:r>
            <w:rPr>
              <w:rFonts w:cs="Arial"/>
              <w:sz w:val="22"/>
            </w:rPr>
            <w:fldChar w:fldCharType="begin"/>
          </w:r>
          <w:r>
            <w:rPr>
              <w:rFonts w:cs="Arial"/>
              <w:sz w:val="22"/>
            </w:rPr>
            <w:instrText xml:space="preserve"> PAGEREF _Toc201926298 \h </w:instrText>
          </w:r>
          <w:r>
            <w:rPr>
              <w:rFonts w:cs="Arial"/>
              <w:sz w:val="22"/>
            </w:rPr>
            <w:fldChar w:fldCharType="separate"/>
          </w:r>
          <w:r>
            <w:rPr>
              <w:rFonts w:cs="Arial"/>
              <w:sz w:val="22"/>
            </w:rPr>
            <w:t>24</w:t>
          </w:r>
          <w:r>
            <w:rPr>
              <w:rFonts w:cs="Arial"/>
              <w:sz w:val="22"/>
            </w:rPr>
            <w:fldChar w:fldCharType="end"/>
          </w:r>
          <w:r>
            <w:rPr>
              <w:rFonts w:cs="Arial"/>
              <w:sz w:val="22"/>
            </w:rPr>
            <w:fldChar w:fldCharType="end"/>
          </w:r>
        </w:p>
        <w:p w14:paraId="0045100B">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"_Toc201926299" </w:instrText>
          </w:r>
          <w:r>
            <w:fldChar w:fldCharType="separate"/>
          </w:r>
          <w:r>
            <w:rPr>
              <w:rStyle w:val="24"/>
              <w:rFonts w:cs="Arial"/>
              <w:sz w:val="22"/>
              <w:lang w:val="ro-RO"/>
            </w:rPr>
            <w:t>2.4.</w:t>
          </w:r>
          <w:r>
            <w:rPr>
              <w:rFonts w:cs="Arial" w:eastAsiaTheme="minorEastAsia"/>
              <w:kern w:val="2"/>
              <w:sz w:val="22"/>
              <w14:ligatures w14:val="standardContextual"/>
            </w:rPr>
            <w:tab/>
          </w:r>
          <w:r>
            <w:rPr>
              <w:rStyle w:val="24"/>
              <w:rFonts w:cs="Arial"/>
              <w:sz w:val="22"/>
              <w:lang w:val="ro-RO"/>
            </w:rPr>
            <w:t>Apa</w:t>
          </w:r>
          <w:r>
            <w:rPr>
              <w:rFonts w:cs="Arial"/>
              <w:sz w:val="22"/>
            </w:rPr>
            <w:tab/>
          </w:r>
          <w:r>
            <w:rPr>
              <w:rFonts w:cs="Arial"/>
              <w:sz w:val="22"/>
            </w:rPr>
            <w:fldChar w:fldCharType="begin"/>
          </w:r>
          <w:r>
            <w:rPr>
              <w:rFonts w:cs="Arial"/>
              <w:sz w:val="22"/>
            </w:rPr>
            <w:instrText xml:space="preserve"> PAGEREF _Toc201926299 \h </w:instrText>
          </w:r>
          <w:r>
            <w:rPr>
              <w:rFonts w:cs="Arial"/>
              <w:sz w:val="22"/>
            </w:rPr>
            <w:fldChar w:fldCharType="separate"/>
          </w:r>
          <w:r>
            <w:rPr>
              <w:rFonts w:cs="Arial"/>
              <w:sz w:val="22"/>
            </w:rPr>
            <w:t>25</w:t>
          </w:r>
          <w:r>
            <w:rPr>
              <w:rFonts w:cs="Arial"/>
              <w:sz w:val="22"/>
            </w:rPr>
            <w:fldChar w:fldCharType="end"/>
          </w:r>
          <w:r>
            <w:rPr>
              <w:rFonts w:cs="Arial"/>
              <w:sz w:val="22"/>
            </w:rPr>
            <w:fldChar w:fldCharType="end"/>
          </w:r>
        </w:p>
        <w:p w14:paraId="74852054">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"_Toc201926300" </w:instrText>
          </w:r>
          <w:r>
            <w:fldChar w:fldCharType="separate"/>
          </w:r>
          <w:r>
            <w:rPr>
              <w:rStyle w:val="24"/>
              <w:rFonts w:cs="Arial"/>
              <w:sz w:val="22"/>
              <w:lang w:val="ro-RO"/>
            </w:rPr>
            <w:t>2.5.</w:t>
          </w:r>
          <w:r>
            <w:rPr>
              <w:rFonts w:cs="Arial" w:eastAsiaTheme="minorEastAsia"/>
              <w:kern w:val="2"/>
              <w:sz w:val="22"/>
              <w14:ligatures w14:val="standardContextual"/>
            </w:rPr>
            <w:tab/>
          </w:r>
          <w:r>
            <w:rPr>
              <w:rStyle w:val="24"/>
              <w:rFonts w:cs="Arial"/>
              <w:sz w:val="22"/>
              <w:lang w:val="ro-RO"/>
            </w:rPr>
            <w:t>Solul</w:t>
          </w:r>
          <w:r>
            <w:rPr>
              <w:rFonts w:cs="Arial"/>
              <w:sz w:val="22"/>
            </w:rPr>
            <w:tab/>
          </w:r>
          <w:r>
            <w:rPr>
              <w:rFonts w:cs="Arial"/>
              <w:sz w:val="22"/>
            </w:rPr>
            <w:fldChar w:fldCharType="begin"/>
          </w:r>
          <w:r>
            <w:rPr>
              <w:rFonts w:cs="Arial"/>
              <w:sz w:val="22"/>
            </w:rPr>
            <w:instrText xml:space="preserve"> PAGEREF _Toc201926300 \h </w:instrText>
          </w:r>
          <w:r>
            <w:rPr>
              <w:rFonts w:cs="Arial"/>
              <w:sz w:val="22"/>
            </w:rPr>
            <w:fldChar w:fldCharType="separate"/>
          </w:r>
          <w:r>
            <w:rPr>
              <w:rFonts w:cs="Arial"/>
              <w:sz w:val="22"/>
            </w:rPr>
            <w:t>25</w:t>
          </w:r>
          <w:r>
            <w:rPr>
              <w:rFonts w:cs="Arial"/>
              <w:sz w:val="22"/>
            </w:rPr>
            <w:fldChar w:fldCharType="end"/>
          </w:r>
          <w:r>
            <w:rPr>
              <w:rFonts w:cs="Arial"/>
              <w:sz w:val="22"/>
            </w:rPr>
            <w:fldChar w:fldCharType="end"/>
          </w:r>
        </w:p>
        <w:p w14:paraId="32362869">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"_Toc201926301" </w:instrText>
          </w:r>
          <w:r>
            <w:fldChar w:fldCharType="separate"/>
          </w:r>
          <w:r>
            <w:rPr>
              <w:rStyle w:val="24"/>
              <w:rFonts w:cs="Arial"/>
              <w:sz w:val="22"/>
              <w:lang w:val="ro-RO"/>
            </w:rPr>
            <w:t>2.6.</w:t>
          </w:r>
          <w:r>
            <w:rPr>
              <w:rFonts w:cs="Arial" w:eastAsiaTheme="minorEastAsia"/>
              <w:kern w:val="2"/>
              <w:sz w:val="22"/>
              <w14:ligatures w14:val="standardContextual"/>
            </w:rPr>
            <w:tab/>
          </w:r>
          <w:r>
            <w:rPr>
              <w:rStyle w:val="24"/>
              <w:rFonts w:cs="Arial"/>
              <w:sz w:val="22"/>
              <w:lang w:val="ro-RO"/>
            </w:rPr>
            <w:t>Flora și fauna</w:t>
          </w:r>
          <w:r>
            <w:rPr>
              <w:rFonts w:cs="Arial"/>
              <w:sz w:val="22"/>
            </w:rPr>
            <w:tab/>
          </w:r>
          <w:r>
            <w:rPr>
              <w:rFonts w:cs="Arial"/>
              <w:sz w:val="22"/>
            </w:rPr>
            <w:fldChar w:fldCharType="begin"/>
          </w:r>
          <w:r>
            <w:rPr>
              <w:rFonts w:cs="Arial"/>
              <w:sz w:val="22"/>
            </w:rPr>
            <w:instrText xml:space="preserve"> PAGEREF _Toc201926301 \h </w:instrText>
          </w:r>
          <w:r>
            <w:rPr>
              <w:rFonts w:cs="Arial"/>
              <w:sz w:val="22"/>
            </w:rPr>
            <w:fldChar w:fldCharType="separate"/>
          </w:r>
          <w:r>
            <w:rPr>
              <w:rFonts w:cs="Arial"/>
              <w:sz w:val="22"/>
            </w:rPr>
            <w:t>26</w:t>
          </w:r>
          <w:r>
            <w:rPr>
              <w:rFonts w:cs="Arial"/>
              <w:sz w:val="22"/>
            </w:rPr>
            <w:fldChar w:fldCharType="end"/>
          </w:r>
          <w:r>
            <w:rPr>
              <w:rFonts w:cs="Arial"/>
              <w:sz w:val="22"/>
            </w:rPr>
            <w:fldChar w:fldCharType="end"/>
          </w:r>
        </w:p>
        <w:p w14:paraId="62B9099A">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"_Toc201926302" </w:instrText>
          </w:r>
          <w:r>
            <w:fldChar w:fldCharType="separate"/>
          </w:r>
          <w:r>
            <w:rPr>
              <w:rStyle w:val="24"/>
              <w:rFonts w:cs="Arial"/>
              <w:sz w:val="22"/>
              <w:lang w:val="ro-RO"/>
            </w:rPr>
            <w:t>2.7.</w:t>
          </w:r>
          <w:r>
            <w:rPr>
              <w:rFonts w:cs="Arial" w:eastAsiaTheme="minorEastAsia"/>
              <w:kern w:val="2"/>
              <w:sz w:val="22"/>
              <w14:ligatures w14:val="standardContextual"/>
            </w:rPr>
            <w:tab/>
          </w:r>
          <w:r>
            <w:rPr>
              <w:rStyle w:val="24"/>
              <w:rFonts w:cs="Arial"/>
              <w:sz w:val="22"/>
              <w:lang w:val="ro-RO"/>
            </w:rPr>
            <w:t>Resurse</w:t>
          </w:r>
          <w:r>
            <w:rPr>
              <w:rFonts w:cs="Arial"/>
              <w:sz w:val="22"/>
            </w:rPr>
            <w:tab/>
          </w:r>
          <w:r>
            <w:rPr>
              <w:rFonts w:cs="Arial"/>
              <w:sz w:val="22"/>
            </w:rPr>
            <w:fldChar w:fldCharType="begin"/>
          </w:r>
          <w:r>
            <w:rPr>
              <w:rFonts w:cs="Arial"/>
              <w:sz w:val="22"/>
            </w:rPr>
            <w:instrText xml:space="preserve"> PAGEREF _Toc201926302 \h </w:instrText>
          </w:r>
          <w:r>
            <w:rPr>
              <w:rFonts w:cs="Arial"/>
              <w:sz w:val="22"/>
            </w:rPr>
            <w:fldChar w:fldCharType="separate"/>
          </w:r>
          <w:r>
            <w:rPr>
              <w:rFonts w:cs="Arial"/>
              <w:sz w:val="22"/>
            </w:rPr>
            <w:t>28</w:t>
          </w:r>
          <w:r>
            <w:rPr>
              <w:rFonts w:cs="Arial"/>
              <w:sz w:val="22"/>
            </w:rPr>
            <w:fldChar w:fldCharType="end"/>
          </w:r>
          <w:r>
            <w:rPr>
              <w:rFonts w:cs="Arial"/>
              <w:sz w:val="22"/>
            </w:rPr>
            <w:fldChar w:fldCharType="end"/>
          </w:r>
        </w:p>
        <w:p w14:paraId="6FB24165">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"_Toc201926303" </w:instrText>
          </w:r>
          <w:r>
            <w:fldChar w:fldCharType="separate"/>
          </w:r>
          <w:r>
            <w:rPr>
              <w:rStyle w:val="24"/>
              <w:rFonts w:cs="Arial"/>
              <w:sz w:val="22"/>
              <w:lang w:val="ro-RO"/>
            </w:rPr>
            <w:t>2.8.</w:t>
          </w:r>
          <w:r>
            <w:rPr>
              <w:rFonts w:cs="Arial" w:eastAsiaTheme="minorEastAsia"/>
              <w:kern w:val="2"/>
              <w:sz w:val="22"/>
              <w14:ligatures w14:val="standardContextual"/>
            </w:rPr>
            <w:tab/>
          </w:r>
          <w:r>
            <w:rPr>
              <w:rStyle w:val="24"/>
              <w:rFonts w:cs="Arial"/>
              <w:sz w:val="22"/>
              <w:lang w:val="ro-RO"/>
            </w:rPr>
            <w:t>Repere istorice</w:t>
          </w:r>
          <w:r>
            <w:rPr>
              <w:rFonts w:cs="Arial"/>
              <w:sz w:val="22"/>
            </w:rPr>
            <w:tab/>
          </w:r>
          <w:r>
            <w:rPr>
              <w:rFonts w:cs="Arial"/>
              <w:sz w:val="22"/>
            </w:rPr>
            <w:fldChar w:fldCharType="begin"/>
          </w:r>
          <w:r>
            <w:rPr>
              <w:rFonts w:cs="Arial"/>
              <w:sz w:val="22"/>
            </w:rPr>
            <w:instrText xml:space="preserve"> PAGEREF _Toc201926303 \h </w:instrText>
          </w:r>
          <w:r>
            <w:rPr>
              <w:rFonts w:cs="Arial"/>
              <w:sz w:val="22"/>
            </w:rPr>
            <w:fldChar w:fldCharType="separate"/>
          </w:r>
          <w:r>
            <w:rPr>
              <w:rFonts w:cs="Arial"/>
              <w:sz w:val="22"/>
            </w:rPr>
            <w:t>30</w:t>
          </w:r>
          <w:r>
            <w:rPr>
              <w:rFonts w:cs="Arial"/>
              <w:sz w:val="22"/>
            </w:rPr>
            <w:fldChar w:fldCharType="end"/>
          </w:r>
          <w:r>
            <w:rPr>
              <w:rFonts w:cs="Arial"/>
              <w:sz w:val="22"/>
            </w:rPr>
            <w:fldChar w:fldCharType="end"/>
          </w:r>
        </w:p>
        <w:p w14:paraId="2483A17A">
          <w:pPr>
            <w:pStyle w:val="28"/>
            <w:tabs>
              <w:tab w:val="right" w:leader="dot" w:pos="9629"/>
            </w:tabs>
            <w:rPr>
              <w:rFonts w:cs="Arial" w:eastAsiaTheme="minorEastAsia"/>
              <w:kern w:val="2"/>
              <w:sz w:val="22"/>
              <w14:ligatures w14:val="standardContextual"/>
            </w:rPr>
          </w:pPr>
          <w:r>
            <w:fldChar w:fldCharType="begin"/>
          </w:r>
          <w:r>
            <w:instrText xml:space="preserve"> HYPERLINK \l "_Toc201926304" </w:instrText>
          </w:r>
          <w:r>
            <w:fldChar w:fldCharType="separate"/>
          </w:r>
          <w:r>
            <w:rPr>
              <w:rStyle w:val="24"/>
              <w:rFonts w:cs="Arial"/>
              <w:sz w:val="22"/>
              <w:lang w:val="ro-RO"/>
            </w:rPr>
            <w:t>CAPITOLUL 3</w:t>
          </w:r>
          <w:r>
            <w:rPr>
              <w:rFonts w:cs="Arial"/>
              <w:sz w:val="22"/>
            </w:rPr>
            <w:tab/>
          </w:r>
          <w:r>
            <w:rPr>
              <w:rFonts w:cs="Arial"/>
              <w:sz w:val="22"/>
            </w:rPr>
            <w:fldChar w:fldCharType="begin"/>
          </w:r>
          <w:r>
            <w:rPr>
              <w:rFonts w:cs="Arial"/>
              <w:sz w:val="22"/>
            </w:rPr>
            <w:instrText xml:space="preserve"> PAGEREF _Toc201926304 \h </w:instrText>
          </w:r>
          <w:r>
            <w:rPr>
              <w:rFonts w:cs="Arial"/>
              <w:sz w:val="22"/>
            </w:rPr>
            <w:fldChar w:fldCharType="separate"/>
          </w:r>
          <w:r>
            <w:rPr>
              <w:rFonts w:cs="Arial"/>
              <w:sz w:val="22"/>
            </w:rPr>
            <w:t>32</w:t>
          </w:r>
          <w:r>
            <w:rPr>
              <w:rFonts w:cs="Arial"/>
              <w:sz w:val="22"/>
            </w:rPr>
            <w:fldChar w:fldCharType="end"/>
          </w:r>
          <w:r>
            <w:rPr>
              <w:rFonts w:cs="Arial"/>
              <w:sz w:val="22"/>
            </w:rPr>
            <w:fldChar w:fldCharType="end"/>
          </w:r>
        </w:p>
        <w:p w14:paraId="68D67A71">
          <w:pPr>
            <w:pStyle w:val="28"/>
            <w:tabs>
              <w:tab w:val="right" w:leader="dot" w:pos="9629"/>
            </w:tabs>
            <w:rPr>
              <w:rFonts w:cs="Arial" w:eastAsiaTheme="minorEastAsia"/>
              <w:kern w:val="2"/>
              <w:sz w:val="22"/>
              <w14:ligatures w14:val="standardContextual"/>
            </w:rPr>
          </w:pPr>
          <w:r>
            <w:fldChar w:fldCharType="begin"/>
          </w:r>
          <w:r>
            <w:instrText xml:space="preserve"> HYPERLINK \l "_Toc201926305" </w:instrText>
          </w:r>
          <w:r>
            <w:fldChar w:fldCharType="separate"/>
          </w:r>
          <w:r>
            <w:rPr>
              <w:rStyle w:val="24"/>
              <w:rFonts w:cs="Arial"/>
              <w:sz w:val="22"/>
              <w:lang w:val="ro-RO"/>
            </w:rPr>
            <w:t>PROFILUL SOCIO-ECONOMIC ȘI ANALIZA SWOT</w:t>
          </w:r>
          <w:r>
            <w:rPr>
              <w:rFonts w:cs="Arial"/>
              <w:sz w:val="22"/>
            </w:rPr>
            <w:tab/>
          </w:r>
          <w:r>
            <w:rPr>
              <w:rFonts w:cs="Arial"/>
              <w:sz w:val="22"/>
            </w:rPr>
            <w:fldChar w:fldCharType="begin"/>
          </w:r>
          <w:r>
            <w:rPr>
              <w:rFonts w:cs="Arial"/>
              <w:sz w:val="22"/>
            </w:rPr>
            <w:instrText xml:space="preserve"> PAGEREF _Toc201926305 \h </w:instrText>
          </w:r>
          <w:r>
            <w:rPr>
              <w:rFonts w:cs="Arial"/>
              <w:sz w:val="22"/>
            </w:rPr>
            <w:fldChar w:fldCharType="separate"/>
          </w:r>
          <w:r>
            <w:rPr>
              <w:rFonts w:cs="Arial"/>
              <w:sz w:val="22"/>
            </w:rPr>
            <w:t>32</w:t>
          </w:r>
          <w:r>
            <w:rPr>
              <w:rFonts w:cs="Arial"/>
              <w:sz w:val="22"/>
            </w:rPr>
            <w:fldChar w:fldCharType="end"/>
          </w:r>
          <w:r>
            <w:rPr>
              <w:rFonts w:cs="Arial"/>
              <w:sz w:val="22"/>
            </w:rPr>
            <w:fldChar w:fldCharType="end"/>
          </w:r>
        </w:p>
        <w:p w14:paraId="072438F1">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"_Toc201926306" </w:instrText>
          </w:r>
          <w:r>
            <w:fldChar w:fldCharType="separate"/>
          </w:r>
          <w:r>
            <w:rPr>
              <w:rStyle w:val="24"/>
              <w:rFonts w:cs="Arial"/>
              <w:sz w:val="22"/>
              <w:lang w:val="ro-RO"/>
            </w:rPr>
            <w:t>3.1.</w:t>
          </w:r>
          <w:r>
            <w:rPr>
              <w:rFonts w:cs="Arial" w:eastAsiaTheme="minorEastAsia"/>
              <w:kern w:val="2"/>
              <w:sz w:val="22"/>
              <w14:ligatures w14:val="standardContextual"/>
            </w:rPr>
            <w:tab/>
          </w:r>
          <w:r>
            <w:rPr>
              <w:rStyle w:val="24"/>
              <w:rFonts w:cs="Arial"/>
              <w:sz w:val="22"/>
              <w:lang w:val="ro-RO"/>
            </w:rPr>
            <w:t>AGRICULTURĂ ŞI DEZVOLTARE RURALĂ</w:t>
          </w:r>
          <w:r>
            <w:rPr>
              <w:rFonts w:cs="Arial"/>
              <w:sz w:val="22"/>
            </w:rPr>
            <w:tab/>
          </w:r>
          <w:r>
            <w:rPr>
              <w:rFonts w:cs="Arial"/>
              <w:sz w:val="22"/>
            </w:rPr>
            <w:fldChar w:fldCharType="begin"/>
          </w:r>
          <w:r>
            <w:rPr>
              <w:rFonts w:cs="Arial"/>
              <w:sz w:val="22"/>
            </w:rPr>
            <w:instrText xml:space="preserve"> PAGEREF _Toc201926306 \h </w:instrText>
          </w:r>
          <w:r>
            <w:rPr>
              <w:rFonts w:cs="Arial"/>
              <w:sz w:val="22"/>
            </w:rPr>
            <w:fldChar w:fldCharType="separate"/>
          </w:r>
          <w:r>
            <w:rPr>
              <w:rFonts w:cs="Arial"/>
              <w:sz w:val="22"/>
            </w:rPr>
            <w:t>32</w:t>
          </w:r>
          <w:r>
            <w:rPr>
              <w:rFonts w:cs="Arial"/>
              <w:sz w:val="22"/>
            </w:rPr>
            <w:fldChar w:fldCharType="end"/>
          </w:r>
          <w:r>
            <w:rPr>
              <w:rFonts w:cs="Arial"/>
              <w:sz w:val="22"/>
            </w:rPr>
            <w:fldChar w:fldCharType="end"/>
          </w:r>
        </w:p>
        <w:p w14:paraId="13A91AA5">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"_Toc201926307" </w:instrText>
          </w:r>
          <w:r>
            <w:fldChar w:fldCharType="separate"/>
          </w:r>
          <w:r>
            <w:rPr>
              <w:rStyle w:val="24"/>
              <w:rFonts w:cs="Arial"/>
              <w:sz w:val="22"/>
              <w:lang w:val="ro-RO"/>
            </w:rPr>
            <w:t>3.1.1.</w:t>
          </w:r>
          <w:r>
            <w:rPr>
              <w:rFonts w:cs="Arial" w:eastAsiaTheme="minorEastAsia"/>
              <w:kern w:val="2"/>
              <w:sz w:val="22"/>
              <w14:ligatures w14:val="standardContextual"/>
            </w:rPr>
            <w:tab/>
          </w:r>
          <w:r>
            <w:rPr>
              <w:rStyle w:val="24"/>
              <w:rFonts w:cs="Arial"/>
              <w:sz w:val="22"/>
              <w:lang w:val="ro-RO"/>
            </w:rPr>
            <w:t>Producţia vegetală</w:t>
          </w:r>
          <w:r>
            <w:rPr>
              <w:rFonts w:cs="Arial"/>
              <w:sz w:val="22"/>
            </w:rPr>
            <w:tab/>
          </w:r>
          <w:r>
            <w:rPr>
              <w:rFonts w:cs="Arial"/>
              <w:sz w:val="22"/>
            </w:rPr>
            <w:fldChar w:fldCharType="begin"/>
          </w:r>
          <w:r>
            <w:rPr>
              <w:rFonts w:cs="Arial"/>
              <w:sz w:val="22"/>
            </w:rPr>
            <w:instrText xml:space="preserve"> PAGEREF _Toc201926307 \h </w:instrText>
          </w:r>
          <w:r>
            <w:rPr>
              <w:rFonts w:cs="Arial"/>
              <w:sz w:val="22"/>
            </w:rPr>
            <w:fldChar w:fldCharType="separate"/>
          </w:r>
          <w:r>
            <w:rPr>
              <w:rFonts w:cs="Arial"/>
              <w:sz w:val="22"/>
            </w:rPr>
            <w:t>32</w:t>
          </w:r>
          <w:r>
            <w:rPr>
              <w:rFonts w:cs="Arial"/>
              <w:sz w:val="22"/>
            </w:rPr>
            <w:fldChar w:fldCharType="end"/>
          </w:r>
          <w:r>
            <w:rPr>
              <w:rFonts w:cs="Arial"/>
              <w:sz w:val="22"/>
            </w:rPr>
            <w:fldChar w:fldCharType="end"/>
          </w:r>
        </w:p>
        <w:p w14:paraId="596FDC0B">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"_Toc201926308" </w:instrText>
          </w:r>
          <w:r>
            <w:fldChar w:fldCharType="separate"/>
          </w:r>
          <w:r>
            <w:rPr>
              <w:rStyle w:val="24"/>
              <w:rFonts w:cs="Arial"/>
              <w:sz w:val="22"/>
              <w:lang w:val="ro-RO"/>
            </w:rPr>
            <w:t>3.1.2.</w:t>
          </w:r>
          <w:r>
            <w:rPr>
              <w:rFonts w:cs="Arial" w:eastAsiaTheme="minorEastAsia"/>
              <w:kern w:val="2"/>
              <w:sz w:val="22"/>
              <w14:ligatures w14:val="standardContextual"/>
            </w:rPr>
            <w:tab/>
          </w:r>
          <w:r>
            <w:rPr>
              <w:rStyle w:val="24"/>
              <w:rFonts w:cs="Arial"/>
              <w:sz w:val="22"/>
              <w:lang w:val="ro-RO"/>
            </w:rPr>
            <w:t>Zootehnia</w:t>
          </w:r>
          <w:r>
            <w:rPr>
              <w:rFonts w:cs="Arial"/>
              <w:sz w:val="22"/>
            </w:rPr>
            <w:tab/>
          </w:r>
          <w:r>
            <w:rPr>
              <w:rFonts w:cs="Arial"/>
              <w:sz w:val="22"/>
            </w:rPr>
            <w:fldChar w:fldCharType="begin"/>
          </w:r>
          <w:r>
            <w:rPr>
              <w:rFonts w:cs="Arial"/>
              <w:sz w:val="22"/>
            </w:rPr>
            <w:instrText xml:space="preserve"> PAGEREF _Toc201926308 \h </w:instrText>
          </w:r>
          <w:r>
            <w:rPr>
              <w:rFonts w:cs="Arial"/>
              <w:sz w:val="22"/>
            </w:rPr>
            <w:fldChar w:fldCharType="separate"/>
          </w:r>
          <w:r>
            <w:rPr>
              <w:rFonts w:cs="Arial"/>
              <w:sz w:val="22"/>
            </w:rPr>
            <w:t>33</w:t>
          </w:r>
          <w:r>
            <w:rPr>
              <w:rFonts w:cs="Arial"/>
              <w:sz w:val="22"/>
            </w:rPr>
            <w:fldChar w:fldCharType="end"/>
          </w:r>
          <w:r>
            <w:rPr>
              <w:rFonts w:cs="Arial"/>
              <w:sz w:val="22"/>
            </w:rPr>
            <w:fldChar w:fldCharType="end"/>
          </w:r>
        </w:p>
        <w:p w14:paraId="3359835D">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"_Toc201926309" </w:instrText>
          </w:r>
          <w:r>
            <w:fldChar w:fldCharType="separate"/>
          </w:r>
          <w:r>
            <w:rPr>
              <w:rStyle w:val="24"/>
              <w:rFonts w:cs="Arial"/>
              <w:sz w:val="22"/>
              <w:lang w:val="ro-RO"/>
            </w:rPr>
            <w:t>3.1.3.</w:t>
          </w:r>
          <w:r>
            <w:rPr>
              <w:rFonts w:cs="Arial" w:eastAsiaTheme="minorEastAsia"/>
              <w:kern w:val="2"/>
              <w:sz w:val="22"/>
              <w14:ligatures w14:val="standardContextual"/>
            </w:rPr>
            <w:tab/>
          </w:r>
          <w:r>
            <w:rPr>
              <w:rStyle w:val="24"/>
              <w:rFonts w:cs="Arial"/>
              <w:sz w:val="22"/>
              <w:lang w:val="ro-RO"/>
            </w:rPr>
            <w:t>Pomicultura</w:t>
          </w:r>
          <w:r>
            <w:rPr>
              <w:rFonts w:cs="Arial"/>
              <w:sz w:val="22"/>
            </w:rPr>
            <w:tab/>
          </w:r>
          <w:r>
            <w:rPr>
              <w:rFonts w:cs="Arial"/>
              <w:sz w:val="22"/>
            </w:rPr>
            <w:fldChar w:fldCharType="begin"/>
          </w:r>
          <w:r>
            <w:rPr>
              <w:rFonts w:cs="Arial"/>
              <w:sz w:val="22"/>
            </w:rPr>
            <w:instrText xml:space="preserve"> PAGEREF _Toc201926309 \h </w:instrText>
          </w:r>
          <w:r>
            <w:rPr>
              <w:rFonts w:cs="Arial"/>
              <w:sz w:val="22"/>
            </w:rPr>
            <w:fldChar w:fldCharType="separate"/>
          </w:r>
          <w:r>
            <w:rPr>
              <w:rFonts w:cs="Arial"/>
              <w:sz w:val="22"/>
            </w:rPr>
            <w:t>33</w:t>
          </w:r>
          <w:r>
            <w:rPr>
              <w:rFonts w:cs="Arial"/>
              <w:sz w:val="22"/>
            </w:rPr>
            <w:fldChar w:fldCharType="end"/>
          </w:r>
          <w:r>
            <w:rPr>
              <w:rFonts w:cs="Arial"/>
              <w:sz w:val="22"/>
            </w:rPr>
            <w:fldChar w:fldCharType="end"/>
          </w:r>
        </w:p>
        <w:p w14:paraId="0C1159CF">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"_Toc201926310" </w:instrText>
          </w:r>
          <w:r>
            <w:fldChar w:fldCharType="separate"/>
          </w:r>
          <w:r>
            <w:rPr>
              <w:rStyle w:val="24"/>
              <w:rFonts w:cs="Arial"/>
              <w:sz w:val="22"/>
              <w:lang w:val="ro-RO"/>
            </w:rPr>
            <w:t>3.1.4.</w:t>
          </w:r>
          <w:r>
            <w:rPr>
              <w:rFonts w:cs="Arial" w:eastAsiaTheme="minorEastAsia"/>
              <w:kern w:val="2"/>
              <w:sz w:val="22"/>
              <w14:ligatures w14:val="standardContextual"/>
            </w:rPr>
            <w:tab/>
          </w:r>
          <w:r>
            <w:rPr>
              <w:rStyle w:val="24"/>
              <w:rFonts w:cs="Arial"/>
              <w:sz w:val="22"/>
              <w:lang w:val="ro-RO"/>
            </w:rPr>
            <w:t>Viticultura</w:t>
          </w:r>
          <w:r>
            <w:rPr>
              <w:rFonts w:cs="Arial"/>
              <w:sz w:val="22"/>
            </w:rPr>
            <w:tab/>
          </w:r>
          <w:r>
            <w:rPr>
              <w:rFonts w:cs="Arial"/>
              <w:sz w:val="22"/>
            </w:rPr>
            <w:fldChar w:fldCharType="begin"/>
          </w:r>
          <w:r>
            <w:rPr>
              <w:rFonts w:cs="Arial"/>
              <w:sz w:val="22"/>
            </w:rPr>
            <w:instrText xml:space="preserve"> PAGEREF _Toc201926310 \h </w:instrText>
          </w:r>
          <w:r>
            <w:rPr>
              <w:rFonts w:cs="Arial"/>
              <w:sz w:val="22"/>
            </w:rPr>
            <w:fldChar w:fldCharType="separate"/>
          </w:r>
          <w:r>
            <w:rPr>
              <w:rFonts w:cs="Arial"/>
              <w:sz w:val="22"/>
            </w:rPr>
            <w:t>34</w:t>
          </w:r>
          <w:r>
            <w:rPr>
              <w:rFonts w:cs="Arial"/>
              <w:sz w:val="22"/>
            </w:rPr>
            <w:fldChar w:fldCharType="end"/>
          </w:r>
          <w:r>
            <w:rPr>
              <w:rFonts w:cs="Arial"/>
              <w:sz w:val="22"/>
            </w:rPr>
            <w:fldChar w:fldCharType="end"/>
          </w:r>
        </w:p>
        <w:p w14:paraId="10AF1792">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"_Toc201926311" </w:instrText>
          </w:r>
          <w:r>
            <w:fldChar w:fldCharType="separate"/>
          </w:r>
          <w:r>
            <w:rPr>
              <w:rStyle w:val="24"/>
              <w:rFonts w:cs="Arial"/>
              <w:sz w:val="22"/>
              <w:lang w:val="ro-RO"/>
            </w:rPr>
            <w:t>3.1.5.</w:t>
          </w:r>
          <w:r>
            <w:rPr>
              <w:rFonts w:cs="Arial" w:eastAsiaTheme="minorEastAsia"/>
              <w:kern w:val="2"/>
              <w:sz w:val="22"/>
              <w14:ligatures w14:val="standardContextual"/>
            </w:rPr>
            <w:tab/>
          </w:r>
          <w:r>
            <w:rPr>
              <w:rStyle w:val="24"/>
              <w:rFonts w:cs="Arial"/>
              <w:sz w:val="22"/>
              <w:lang w:val="ro-RO"/>
            </w:rPr>
            <w:t>Legumicultura</w:t>
          </w:r>
          <w:r>
            <w:rPr>
              <w:rFonts w:cs="Arial"/>
              <w:sz w:val="22"/>
            </w:rPr>
            <w:tab/>
          </w:r>
          <w:r>
            <w:rPr>
              <w:rFonts w:cs="Arial"/>
              <w:sz w:val="22"/>
            </w:rPr>
            <w:fldChar w:fldCharType="begin"/>
          </w:r>
          <w:r>
            <w:rPr>
              <w:rFonts w:cs="Arial"/>
              <w:sz w:val="22"/>
            </w:rPr>
            <w:instrText xml:space="preserve"> PAGEREF _Toc201926311 \h </w:instrText>
          </w:r>
          <w:r>
            <w:rPr>
              <w:rFonts w:cs="Arial"/>
              <w:sz w:val="22"/>
            </w:rPr>
            <w:fldChar w:fldCharType="separate"/>
          </w:r>
          <w:r>
            <w:rPr>
              <w:rFonts w:cs="Arial"/>
              <w:sz w:val="22"/>
            </w:rPr>
            <w:t>34</w:t>
          </w:r>
          <w:r>
            <w:rPr>
              <w:rFonts w:cs="Arial"/>
              <w:sz w:val="22"/>
            </w:rPr>
            <w:fldChar w:fldCharType="end"/>
          </w:r>
          <w:r>
            <w:rPr>
              <w:rFonts w:cs="Arial"/>
              <w:sz w:val="22"/>
            </w:rPr>
            <w:fldChar w:fldCharType="end"/>
          </w:r>
        </w:p>
        <w:p w14:paraId="2827E673">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"_Toc201926312" </w:instrText>
          </w:r>
          <w:r>
            <w:fldChar w:fldCharType="separate"/>
          </w:r>
          <w:r>
            <w:rPr>
              <w:rStyle w:val="24"/>
              <w:rFonts w:cs="Arial"/>
              <w:sz w:val="22"/>
              <w:lang w:val="ro-RO"/>
            </w:rPr>
            <w:t>3.1.6.</w:t>
          </w:r>
          <w:r>
            <w:rPr>
              <w:rFonts w:cs="Arial" w:eastAsiaTheme="minorEastAsia"/>
              <w:kern w:val="2"/>
              <w:sz w:val="22"/>
              <w14:ligatures w14:val="standardContextual"/>
            </w:rPr>
            <w:tab/>
          </w:r>
          <w:r>
            <w:rPr>
              <w:rStyle w:val="24"/>
              <w:rFonts w:cs="Arial"/>
              <w:sz w:val="22"/>
              <w:lang w:val="ro-RO"/>
            </w:rPr>
            <w:t>Silvicultura</w:t>
          </w:r>
          <w:r>
            <w:rPr>
              <w:rFonts w:cs="Arial"/>
              <w:sz w:val="22"/>
            </w:rPr>
            <w:tab/>
          </w:r>
          <w:r>
            <w:rPr>
              <w:rFonts w:cs="Arial"/>
              <w:sz w:val="22"/>
            </w:rPr>
            <w:fldChar w:fldCharType="begin"/>
          </w:r>
          <w:r>
            <w:rPr>
              <w:rFonts w:cs="Arial"/>
              <w:sz w:val="22"/>
            </w:rPr>
            <w:instrText xml:space="preserve"> PAGEREF _Toc201926312 \h </w:instrText>
          </w:r>
          <w:r>
            <w:rPr>
              <w:rFonts w:cs="Arial"/>
              <w:sz w:val="22"/>
            </w:rPr>
            <w:fldChar w:fldCharType="separate"/>
          </w:r>
          <w:r>
            <w:rPr>
              <w:rFonts w:cs="Arial"/>
              <w:sz w:val="22"/>
            </w:rPr>
            <w:t>34</w:t>
          </w:r>
          <w:r>
            <w:rPr>
              <w:rFonts w:cs="Arial"/>
              <w:sz w:val="22"/>
            </w:rPr>
            <w:fldChar w:fldCharType="end"/>
          </w:r>
          <w:r>
            <w:rPr>
              <w:rFonts w:cs="Arial"/>
              <w:sz w:val="22"/>
            </w:rPr>
            <w:fldChar w:fldCharType="end"/>
          </w:r>
        </w:p>
        <w:p w14:paraId="1DC09C47">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"_Toc201926313" </w:instrText>
          </w:r>
          <w:r>
            <w:fldChar w:fldCharType="separate"/>
          </w:r>
          <w:r>
            <w:rPr>
              <w:rStyle w:val="24"/>
              <w:rFonts w:cs="Arial"/>
              <w:sz w:val="22"/>
              <w:lang w:val="ro-RO"/>
            </w:rPr>
            <w:t>3.2.</w:t>
          </w:r>
          <w:r>
            <w:rPr>
              <w:rFonts w:cs="Arial" w:eastAsiaTheme="minorEastAsia"/>
              <w:kern w:val="2"/>
              <w:sz w:val="22"/>
              <w14:ligatures w14:val="standardContextual"/>
            </w:rPr>
            <w:tab/>
          </w:r>
          <w:r>
            <w:rPr>
              <w:rStyle w:val="24"/>
              <w:rFonts w:cs="Arial"/>
              <w:sz w:val="22"/>
              <w:lang w:val="ro-RO"/>
            </w:rPr>
            <w:t>INFRASTRUCTURĂ, TRANSPORT ȘI MEDIU</w:t>
          </w:r>
          <w:r>
            <w:rPr>
              <w:rFonts w:cs="Arial"/>
              <w:sz w:val="22"/>
            </w:rPr>
            <w:tab/>
          </w:r>
          <w:r>
            <w:rPr>
              <w:rFonts w:cs="Arial"/>
              <w:sz w:val="22"/>
            </w:rPr>
            <w:fldChar w:fldCharType="begin"/>
          </w:r>
          <w:r>
            <w:rPr>
              <w:rFonts w:cs="Arial"/>
              <w:sz w:val="22"/>
            </w:rPr>
            <w:instrText xml:space="preserve"> PAGEREF _Toc201926313 \h </w:instrText>
          </w:r>
          <w:r>
            <w:rPr>
              <w:rFonts w:cs="Arial"/>
              <w:sz w:val="22"/>
            </w:rPr>
            <w:fldChar w:fldCharType="separate"/>
          </w:r>
          <w:r>
            <w:rPr>
              <w:rFonts w:cs="Arial"/>
              <w:sz w:val="22"/>
            </w:rPr>
            <w:t>34</w:t>
          </w:r>
          <w:r>
            <w:rPr>
              <w:rFonts w:cs="Arial"/>
              <w:sz w:val="22"/>
            </w:rPr>
            <w:fldChar w:fldCharType="end"/>
          </w:r>
          <w:r>
            <w:rPr>
              <w:rFonts w:cs="Arial"/>
              <w:sz w:val="22"/>
            </w:rPr>
            <w:fldChar w:fldCharType="end"/>
          </w:r>
        </w:p>
        <w:p w14:paraId="013802C0">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"_Toc201926314" </w:instrText>
          </w:r>
          <w:r>
            <w:fldChar w:fldCharType="separate"/>
          </w:r>
          <w:r>
            <w:rPr>
              <w:rStyle w:val="24"/>
              <w:rFonts w:cs="Arial"/>
              <w:sz w:val="22"/>
              <w:lang w:val="ro-RO"/>
            </w:rPr>
            <w:t>3.2.1.</w:t>
          </w:r>
          <w:r>
            <w:rPr>
              <w:rFonts w:cs="Arial" w:eastAsiaTheme="minorEastAsia"/>
              <w:kern w:val="2"/>
              <w:sz w:val="22"/>
              <w14:ligatures w14:val="standardContextual"/>
            </w:rPr>
            <w:tab/>
          </w:r>
          <w:r>
            <w:rPr>
              <w:rStyle w:val="24"/>
              <w:rFonts w:cs="Arial"/>
              <w:sz w:val="22"/>
              <w:lang w:val="ro-RO"/>
            </w:rPr>
            <w:t>Infrastructura de comunicaţii şi transport</w:t>
          </w:r>
          <w:r>
            <w:rPr>
              <w:rFonts w:cs="Arial"/>
              <w:sz w:val="22"/>
            </w:rPr>
            <w:tab/>
          </w:r>
          <w:r>
            <w:rPr>
              <w:rFonts w:cs="Arial"/>
              <w:sz w:val="22"/>
            </w:rPr>
            <w:fldChar w:fldCharType="begin"/>
          </w:r>
          <w:r>
            <w:rPr>
              <w:rFonts w:cs="Arial"/>
              <w:sz w:val="22"/>
            </w:rPr>
            <w:instrText xml:space="preserve"> PAGEREF _Toc201926314 \h </w:instrText>
          </w:r>
          <w:r>
            <w:rPr>
              <w:rFonts w:cs="Arial"/>
              <w:sz w:val="22"/>
            </w:rPr>
            <w:fldChar w:fldCharType="separate"/>
          </w:r>
          <w:r>
            <w:rPr>
              <w:rFonts w:cs="Arial"/>
              <w:sz w:val="22"/>
            </w:rPr>
            <w:t>34</w:t>
          </w:r>
          <w:r>
            <w:rPr>
              <w:rFonts w:cs="Arial"/>
              <w:sz w:val="22"/>
            </w:rPr>
            <w:fldChar w:fldCharType="end"/>
          </w:r>
          <w:r>
            <w:rPr>
              <w:rFonts w:cs="Arial"/>
              <w:sz w:val="22"/>
            </w:rPr>
            <w:fldChar w:fldCharType="end"/>
          </w:r>
        </w:p>
        <w:p w14:paraId="5CCE20A4">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"_Toc201926315" </w:instrText>
          </w:r>
          <w:r>
            <w:fldChar w:fldCharType="separate"/>
          </w:r>
          <w:r>
            <w:rPr>
              <w:rStyle w:val="24"/>
              <w:rFonts w:cs="Arial"/>
              <w:sz w:val="22"/>
              <w:lang w:val="ro-RO"/>
            </w:rPr>
            <w:t>3.2.2.</w:t>
          </w:r>
          <w:r>
            <w:rPr>
              <w:rFonts w:cs="Arial" w:eastAsiaTheme="minorEastAsia"/>
              <w:kern w:val="2"/>
              <w:sz w:val="22"/>
              <w14:ligatures w14:val="standardContextual"/>
            </w:rPr>
            <w:tab/>
          </w:r>
          <w:r>
            <w:rPr>
              <w:rStyle w:val="24"/>
              <w:rFonts w:cs="Arial"/>
              <w:sz w:val="22"/>
              <w:lang w:val="ro-RO"/>
            </w:rPr>
            <w:t>Infrastructură de utilităţi</w:t>
          </w:r>
          <w:r>
            <w:rPr>
              <w:rFonts w:cs="Arial"/>
              <w:sz w:val="22"/>
            </w:rPr>
            <w:tab/>
          </w:r>
          <w:r>
            <w:rPr>
              <w:rFonts w:cs="Arial"/>
              <w:sz w:val="22"/>
            </w:rPr>
            <w:fldChar w:fldCharType="begin"/>
          </w:r>
          <w:r>
            <w:rPr>
              <w:rFonts w:cs="Arial"/>
              <w:sz w:val="22"/>
            </w:rPr>
            <w:instrText xml:space="preserve"> PAGEREF _Toc201926315 \h </w:instrText>
          </w:r>
          <w:r>
            <w:rPr>
              <w:rFonts w:cs="Arial"/>
              <w:sz w:val="22"/>
            </w:rPr>
            <w:fldChar w:fldCharType="separate"/>
          </w:r>
          <w:r>
            <w:rPr>
              <w:rFonts w:cs="Arial"/>
              <w:sz w:val="22"/>
            </w:rPr>
            <w:t>37</w:t>
          </w:r>
          <w:r>
            <w:rPr>
              <w:rFonts w:cs="Arial"/>
              <w:sz w:val="22"/>
            </w:rPr>
            <w:fldChar w:fldCharType="end"/>
          </w:r>
          <w:r>
            <w:rPr>
              <w:rFonts w:cs="Arial"/>
              <w:sz w:val="22"/>
            </w:rPr>
            <w:fldChar w:fldCharType="end"/>
          </w:r>
        </w:p>
        <w:p w14:paraId="6AC729D0">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"_Toc201926316" </w:instrText>
          </w:r>
          <w:r>
            <w:fldChar w:fldCharType="separate"/>
          </w:r>
          <w:r>
            <w:rPr>
              <w:rStyle w:val="24"/>
              <w:rFonts w:cs="Arial"/>
              <w:sz w:val="22"/>
              <w:lang w:val="ro-RO"/>
            </w:rPr>
            <w:t>3.2.3.</w:t>
          </w:r>
          <w:r>
            <w:rPr>
              <w:rFonts w:cs="Arial" w:eastAsiaTheme="minorEastAsia"/>
              <w:kern w:val="2"/>
              <w:sz w:val="22"/>
              <w14:ligatures w14:val="standardContextual"/>
            </w:rPr>
            <w:tab/>
          </w:r>
          <w:r>
            <w:rPr>
              <w:rStyle w:val="24"/>
              <w:rFonts w:cs="Arial"/>
              <w:sz w:val="22"/>
              <w:lang w:val="ro-RO"/>
            </w:rPr>
            <w:t>Mediu. Gospodărie comunală</w:t>
          </w:r>
          <w:r>
            <w:rPr>
              <w:rFonts w:cs="Arial"/>
              <w:sz w:val="22"/>
            </w:rPr>
            <w:tab/>
          </w:r>
          <w:r>
            <w:rPr>
              <w:rFonts w:cs="Arial"/>
              <w:sz w:val="22"/>
            </w:rPr>
            <w:fldChar w:fldCharType="begin"/>
          </w:r>
          <w:r>
            <w:rPr>
              <w:rFonts w:cs="Arial"/>
              <w:sz w:val="22"/>
            </w:rPr>
            <w:instrText xml:space="preserve"> PAGEREF _Toc201926316 \h </w:instrText>
          </w:r>
          <w:r>
            <w:rPr>
              <w:rFonts w:cs="Arial"/>
              <w:sz w:val="22"/>
            </w:rPr>
            <w:fldChar w:fldCharType="separate"/>
          </w:r>
          <w:r>
            <w:rPr>
              <w:rFonts w:cs="Arial"/>
              <w:sz w:val="22"/>
            </w:rPr>
            <w:t>46</w:t>
          </w:r>
          <w:r>
            <w:rPr>
              <w:rFonts w:cs="Arial"/>
              <w:sz w:val="22"/>
            </w:rPr>
            <w:fldChar w:fldCharType="end"/>
          </w:r>
          <w:r>
            <w:rPr>
              <w:rFonts w:cs="Arial"/>
              <w:sz w:val="22"/>
            </w:rPr>
            <w:fldChar w:fldCharType="end"/>
          </w:r>
        </w:p>
        <w:p w14:paraId="759C0DFD">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"_Toc201926317" </w:instrText>
          </w:r>
          <w:r>
            <w:fldChar w:fldCharType="separate"/>
          </w:r>
          <w:r>
            <w:rPr>
              <w:rStyle w:val="24"/>
              <w:rFonts w:cs="Arial"/>
              <w:sz w:val="22"/>
              <w:lang w:val="ro-RO"/>
            </w:rPr>
            <w:t>3.3.</w:t>
          </w:r>
          <w:r>
            <w:rPr>
              <w:rFonts w:cs="Arial" w:eastAsiaTheme="minorEastAsia"/>
              <w:kern w:val="2"/>
              <w:sz w:val="22"/>
              <w14:ligatures w14:val="standardContextual"/>
            </w:rPr>
            <w:tab/>
          </w:r>
          <w:r>
            <w:rPr>
              <w:rStyle w:val="24"/>
              <w:rFonts w:cs="Arial"/>
              <w:sz w:val="22"/>
              <w:lang w:val="ro-RO"/>
            </w:rPr>
            <w:t>ECONOMIE</w:t>
          </w:r>
          <w:r>
            <w:rPr>
              <w:rFonts w:cs="Arial"/>
              <w:sz w:val="22"/>
            </w:rPr>
            <w:tab/>
          </w:r>
          <w:r>
            <w:rPr>
              <w:rFonts w:cs="Arial"/>
              <w:sz w:val="22"/>
            </w:rPr>
            <w:fldChar w:fldCharType="begin"/>
          </w:r>
          <w:r>
            <w:rPr>
              <w:rFonts w:cs="Arial"/>
              <w:sz w:val="22"/>
            </w:rPr>
            <w:instrText xml:space="preserve"> PAGEREF _Toc201926317 \h </w:instrText>
          </w:r>
          <w:r>
            <w:rPr>
              <w:rFonts w:cs="Arial"/>
              <w:sz w:val="22"/>
            </w:rPr>
            <w:fldChar w:fldCharType="separate"/>
          </w:r>
          <w:r>
            <w:rPr>
              <w:rFonts w:cs="Arial"/>
              <w:sz w:val="22"/>
            </w:rPr>
            <w:t>48</w:t>
          </w:r>
          <w:r>
            <w:rPr>
              <w:rFonts w:cs="Arial"/>
              <w:sz w:val="22"/>
            </w:rPr>
            <w:fldChar w:fldCharType="end"/>
          </w:r>
          <w:r>
            <w:rPr>
              <w:rFonts w:cs="Arial"/>
              <w:sz w:val="22"/>
            </w:rPr>
            <w:fldChar w:fldCharType="end"/>
          </w:r>
        </w:p>
        <w:p w14:paraId="7ED1A5A8">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"_Toc201926318" </w:instrText>
          </w:r>
          <w:r>
            <w:fldChar w:fldCharType="separate"/>
          </w:r>
          <w:r>
            <w:rPr>
              <w:rStyle w:val="24"/>
              <w:rFonts w:cs="Arial"/>
              <w:sz w:val="22"/>
              <w:lang w:val="ro-RO"/>
            </w:rPr>
            <w:t>3.3.1.</w:t>
          </w:r>
          <w:r>
            <w:rPr>
              <w:rFonts w:cs="Arial" w:eastAsiaTheme="minorEastAsia"/>
              <w:kern w:val="2"/>
              <w:sz w:val="22"/>
              <w14:ligatures w14:val="standardContextual"/>
            </w:rPr>
            <w:tab/>
          </w:r>
          <w:r>
            <w:rPr>
              <w:rStyle w:val="24"/>
              <w:rFonts w:cs="Arial"/>
              <w:sz w:val="22"/>
              <w:lang w:val="ro-RO"/>
            </w:rPr>
            <w:t>Comerţ şi servicii</w:t>
          </w:r>
          <w:r>
            <w:rPr>
              <w:rFonts w:cs="Arial"/>
              <w:sz w:val="22"/>
            </w:rPr>
            <w:tab/>
          </w:r>
          <w:r>
            <w:rPr>
              <w:rFonts w:cs="Arial"/>
              <w:sz w:val="22"/>
            </w:rPr>
            <w:fldChar w:fldCharType="begin"/>
          </w:r>
          <w:r>
            <w:rPr>
              <w:rFonts w:cs="Arial"/>
              <w:sz w:val="22"/>
            </w:rPr>
            <w:instrText xml:space="preserve"> PAGEREF _Toc201926318 \h </w:instrText>
          </w:r>
          <w:r>
            <w:rPr>
              <w:rFonts w:cs="Arial"/>
              <w:sz w:val="22"/>
            </w:rPr>
            <w:fldChar w:fldCharType="separate"/>
          </w:r>
          <w:r>
            <w:rPr>
              <w:rFonts w:cs="Arial"/>
              <w:sz w:val="22"/>
            </w:rPr>
            <w:t>48</w:t>
          </w:r>
          <w:r>
            <w:rPr>
              <w:rFonts w:cs="Arial"/>
              <w:sz w:val="22"/>
            </w:rPr>
            <w:fldChar w:fldCharType="end"/>
          </w:r>
          <w:r>
            <w:rPr>
              <w:rFonts w:cs="Arial"/>
              <w:sz w:val="22"/>
            </w:rPr>
            <w:fldChar w:fldCharType="end"/>
          </w:r>
        </w:p>
        <w:p w14:paraId="4BCD1CE2">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"_Toc201926319" </w:instrText>
          </w:r>
          <w:r>
            <w:fldChar w:fldCharType="separate"/>
          </w:r>
          <w:r>
            <w:rPr>
              <w:rStyle w:val="24"/>
              <w:rFonts w:cs="Arial"/>
              <w:sz w:val="22"/>
              <w:lang w:val="ro-RO"/>
            </w:rPr>
            <w:t>3.3.2.</w:t>
          </w:r>
          <w:r>
            <w:rPr>
              <w:rFonts w:cs="Arial" w:eastAsiaTheme="minorEastAsia"/>
              <w:kern w:val="2"/>
              <w:sz w:val="22"/>
              <w14:ligatures w14:val="standardContextual"/>
            </w:rPr>
            <w:tab/>
          </w:r>
          <w:r>
            <w:rPr>
              <w:rStyle w:val="24"/>
              <w:rFonts w:cs="Arial"/>
              <w:sz w:val="22"/>
              <w:lang w:val="ro-RO"/>
            </w:rPr>
            <w:t>Întreprinderi mici şi mijlocii</w:t>
          </w:r>
          <w:r>
            <w:rPr>
              <w:rFonts w:cs="Arial"/>
              <w:sz w:val="22"/>
            </w:rPr>
            <w:tab/>
          </w:r>
          <w:r>
            <w:rPr>
              <w:rFonts w:cs="Arial"/>
              <w:sz w:val="22"/>
            </w:rPr>
            <w:fldChar w:fldCharType="begin"/>
          </w:r>
          <w:r>
            <w:rPr>
              <w:rFonts w:cs="Arial"/>
              <w:sz w:val="22"/>
            </w:rPr>
            <w:instrText xml:space="preserve"> PAGEREF _Toc201926319 \h </w:instrText>
          </w:r>
          <w:r>
            <w:rPr>
              <w:rFonts w:cs="Arial"/>
              <w:sz w:val="22"/>
            </w:rPr>
            <w:fldChar w:fldCharType="separate"/>
          </w:r>
          <w:r>
            <w:rPr>
              <w:rFonts w:cs="Arial"/>
              <w:sz w:val="22"/>
            </w:rPr>
            <w:t>48</w:t>
          </w:r>
          <w:r>
            <w:rPr>
              <w:rFonts w:cs="Arial"/>
              <w:sz w:val="22"/>
            </w:rPr>
            <w:fldChar w:fldCharType="end"/>
          </w:r>
          <w:r>
            <w:rPr>
              <w:rFonts w:cs="Arial"/>
              <w:sz w:val="22"/>
            </w:rPr>
            <w:fldChar w:fldCharType="end"/>
          </w:r>
        </w:p>
        <w:p w14:paraId="16D9F7E0">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"_Toc201926320" </w:instrText>
          </w:r>
          <w:r>
            <w:fldChar w:fldCharType="separate"/>
          </w:r>
          <w:r>
            <w:rPr>
              <w:rStyle w:val="24"/>
              <w:rFonts w:cs="Arial"/>
              <w:sz w:val="22"/>
              <w:lang w:val="ro-RO"/>
            </w:rPr>
            <w:t>3.4.</w:t>
          </w:r>
          <w:r>
            <w:rPr>
              <w:rFonts w:cs="Arial" w:eastAsiaTheme="minorEastAsia"/>
              <w:kern w:val="2"/>
              <w:sz w:val="22"/>
              <w14:ligatures w14:val="standardContextual"/>
            </w:rPr>
            <w:tab/>
          </w:r>
          <w:r>
            <w:rPr>
              <w:rStyle w:val="24"/>
              <w:rFonts w:cs="Arial"/>
              <w:sz w:val="22"/>
              <w:lang w:val="ro-RO"/>
            </w:rPr>
            <w:t>TURISM EDUCAŢIE ŞI CULTURĂ</w:t>
          </w:r>
          <w:r>
            <w:rPr>
              <w:rFonts w:cs="Arial"/>
              <w:sz w:val="22"/>
            </w:rPr>
            <w:tab/>
          </w:r>
          <w:r>
            <w:rPr>
              <w:rFonts w:cs="Arial"/>
              <w:sz w:val="22"/>
            </w:rPr>
            <w:fldChar w:fldCharType="begin"/>
          </w:r>
          <w:r>
            <w:rPr>
              <w:rFonts w:cs="Arial"/>
              <w:sz w:val="22"/>
            </w:rPr>
            <w:instrText xml:space="preserve"> PAGEREF _Toc201926320 \h </w:instrText>
          </w:r>
          <w:r>
            <w:rPr>
              <w:rFonts w:cs="Arial"/>
              <w:sz w:val="22"/>
            </w:rPr>
            <w:fldChar w:fldCharType="separate"/>
          </w:r>
          <w:r>
            <w:rPr>
              <w:rFonts w:cs="Arial"/>
              <w:sz w:val="22"/>
            </w:rPr>
            <w:t>49</w:t>
          </w:r>
          <w:r>
            <w:rPr>
              <w:rFonts w:cs="Arial"/>
              <w:sz w:val="22"/>
            </w:rPr>
            <w:fldChar w:fldCharType="end"/>
          </w:r>
          <w:r>
            <w:rPr>
              <w:rFonts w:cs="Arial"/>
              <w:sz w:val="22"/>
            </w:rPr>
            <w:fldChar w:fldCharType="end"/>
          </w:r>
        </w:p>
        <w:p w14:paraId="430703D2">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"_Toc201926321" </w:instrText>
          </w:r>
          <w:r>
            <w:fldChar w:fldCharType="separate"/>
          </w:r>
          <w:r>
            <w:rPr>
              <w:rStyle w:val="24"/>
              <w:rFonts w:cs="Arial"/>
              <w:sz w:val="22"/>
              <w:lang w:val="ro-RO"/>
            </w:rPr>
            <w:t>3.4.1.</w:t>
          </w:r>
          <w:r>
            <w:rPr>
              <w:rFonts w:cs="Arial" w:eastAsiaTheme="minorEastAsia"/>
              <w:kern w:val="2"/>
              <w:sz w:val="22"/>
              <w14:ligatures w14:val="standardContextual"/>
            </w:rPr>
            <w:tab/>
          </w:r>
          <w:r>
            <w:rPr>
              <w:rStyle w:val="24"/>
              <w:rFonts w:cs="Arial"/>
              <w:sz w:val="22"/>
              <w:lang w:val="ro-RO"/>
            </w:rPr>
            <w:t>Turism</w:t>
          </w:r>
          <w:r>
            <w:rPr>
              <w:rFonts w:cs="Arial"/>
              <w:sz w:val="22"/>
            </w:rPr>
            <w:tab/>
          </w:r>
          <w:r>
            <w:rPr>
              <w:rFonts w:cs="Arial"/>
              <w:sz w:val="22"/>
            </w:rPr>
            <w:fldChar w:fldCharType="begin"/>
          </w:r>
          <w:r>
            <w:rPr>
              <w:rFonts w:cs="Arial"/>
              <w:sz w:val="22"/>
            </w:rPr>
            <w:instrText xml:space="preserve"> PAGEREF _Toc201926321 \h </w:instrText>
          </w:r>
          <w:r>
            <w:rPr>
              <w:rFonts w:cs="Arial"/>
              <w:sz w:val="22"/>
            </w:rPr>
            <w:fldChar w:fldCharType="separate"/>
          </w:r>
          <w:r>
            <w:rPr>
              <w:rFonts w:cs="Arial"/>
              <w:sz w:val="22"/>
            </w:rPr>
            <w:t>49</w:t>
          </w:r>
          <w:r>
            <w:rPr>
              <w:rFonts w:cs="Arial"/>
              <w:sz w:val="22"/>
            </w:rPr>
            <w:fldChar w:fldCharType="end"/>
          </w:r>
          <w:r>
            <w:rPr>
              <w:rFonts w:cs="Arial"/>
              <w:sz w:val="22"/>
            </w:rPr>
            <w:fldChar w:fldCharType="end"/>
          </w:r>
        </w:p>
        <w:p w14:paraId="7F2A7902">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"_Toc201926322" </w:instrText>
          </w:r>
          <w:r>
            <w:fldChar w:fldCharType="separate"/>
          </w:r>
          <w:r>
            <w:rPr>
              <w:rStyle w:val="24"/>
              <w:rFonts w:cs="Arial"/>
              <w:sz w:val="22"/>
              <w:lang w:val="ro-RO"/>
            </w:rPr>
            <w:t>3.4.2.</w:t>
          </w:r>
          <w:r>
            <w:rPr>
              <w:rFonts w:cs="Arial" w:eastAsiaTheme="minorEastAsia"/>
              <w:kern w:val="2"/>
              <w:sz w:val="22"/>
              <w14:ligatures w14:val="standardContextual"/>
            </w:rPr>
            <w:tab/>
          </w:r>
          <w:r>
            <w:rPr>
              <w:rStyle w:val="24"/>
              <w:rFonts w:cs="Arial"/>
              <w:sz w:val="22"/>
              <w:lang w:val="ro-RO"/>
            </w:rPr>
            <w:t>Învățământ</w:t>
          </w:r>
          <w:r>
            <w:rPr>
              <w:rFonts w:cs="Arial"/>
              <w:sz w:val="22"/>
            </w:rPr>
            <w:tab/>
          </w:r>
          <w:r>
            <w:rPr>
              <w:rFonts w:cs="Arial"/>
              <w:sz w:val="22"/>
            </w:rPr>
            <w:fldChar w:fldCharType="begin"/>
          </w:r>
          <w:r>
            <w:rPr>
              <w:rFonts w:cs="Arial"/>
              <w:sz w:val="22"/>
            </w:rPr>
            <w:instrText xml:space="preserve"> PAGEREF _Toc201926322 \h </w:instrText>
          </w:r>
          <w:r>
            <w:rPr>
              <w:rFonts w:cs="Arial"/>
              <w:sz w:val="22"/>
            </w:rPr>
            <w:fldChar w:fldCharType="separate"/>
          </w:r>
          <w:r>
            <w:rPr>
              <w:rFonts w:cs="Arial"/>
              <w:sz w:val="22"/>
            </w:rPr>
            <w:t>50</w:t>
          </w:r>
          <w:r>
            <w:rPr>
              <w:rFonts w:cs="Arial"/>
              <w:sz w:val="22"/>
            </w:rPr>
            <w:fldChar w:fldCharType="end"/>
          </w:r>
          <w:r>
            <w:rPr>
              <w:rFonts w:cs="Arial"/>
              <w:sz w:val="22"/>
            </w:rPr>
            <w:fldChar w:fldCharType="end"/>
          </w:r>
        </w:p>
        <w:p w14:paraId="1B714D3F">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"_Toc201926323" </w:instrText>
          </w:r>
          <w:r>
            <w:fldChar w:fldCharType="separate"/>
          </w:r>
          <w:r>
            <w:rPr>
              <w:rStyle w:val="24"/>
              <w:rFonts w:cs="Arial"/>
              <w:sz w:val="22"/>
              <w:lang w:val="ro-RO"/>
            </w:rPr>
            <w:t>3.4.3.</w:t>
          </w:r>
          <w:r>
            <w:rPr>
              <w:rFonts w:cs="Arial" w:eastAsiaTheme="minorEastAsia"/>
              <w:kern w:val="2"/>
              <w:sz w:val="22"/>
              <w14:ligatures w14:val="standardContextual"/>
            </w:rPr>
            <w:tab/>
          </w:r>
          <w:r>
            <w:rPr>
              <w:rStyle w:val="24"/>
              <w:rFonts w:cs="Arial"/>
              <w:sz w:val="22"/>
              <w:lang w:val="ro-RO"/>
            </w:rPr>
            <w:t>Cultură</w:t>
          </w:r>
          <w:r>
            <w:rPr>
              <w:rFonts w:cs="Arial"/>
              <w:sz w:val="22"/>
            </w:rPr>
            <w:tab/>
          </w:r>
          <w:r>
            <w:rPr>
              <w:rFonts w:cs="Arial"/>
              <w:sz w:val="22"/>
            </w:rPr>
            <w:fldChar w:fldCharType="begin"/>
          </w:r>
          <w:r>
            <w:rPr>
              <w:rFonts w:cs="Arial"/>
              <w:sz w:val="22"/>
            </w:rPr>
            <w:instrText xml:space="preserve"> PAGEREF _Toc201926323 \h </w:instrText>
          </w:r>
          <w:r>
            <w:rPr>
              <w:rFonts w:cs="Arial"/>
              <w:sz w:val="22"/>
            </w:rPr>
            <w:fldChar w:fldCharType="separate"/>
          </w:r>
          <w:r>
            <w:rPr>
              <w:rFonts w:cs="Arial"/>
              <w:sz w:val="22"/>
            </w:rPr>
            <w:t>51</w:t>
          </w:r>
          <w:r>
            <w:rPr>
              <w:rFonts w:cs="Arial"/>
              <w:sz w:val="22"/>
            </w:rPr>
            <w:fldChar w:fldCharType="end"/>
          </w:r>
          <w:r>
            <w:rPr>
              <w:rFonts w:cs="Arial"/>
              <w:sz w:val="22"/>
            </w:rPr>
            <w:fldChar w:fldCharType="end"/>
          </w:r>
        </w:p>
        <w:p w14:paraId="64AD259A">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"_Toc201926324" </w:instrText>
          </w:r>
          <w:r>
            <w:fldChar w:fldCharType="separate"/>
          </w:r>
          <w:r>
            <w:rPr>
              <w:rStyle w:val="24"/>
              <w:rFonts w:cs="Arial"/>
              <w:sz w:val="22"/>
              <w:lang w:val="ro-RO"/>
            </w:rPr>
            <w:t>3.4.4.</w:t>
          </w:r>
          <w:r>
            <w:rPr>
              <w:rFonts w:cs="Arial" w:eastAsiaTheme="minorEastAsia"/>
              <w:kern w:val="2"/>
              <w:sz w:val="22"/>
              <w14:ligatures w14:val="standardContextual"/>
            </w:rPr>
            <w:tab/>
          </w:r>
          <w:r>
            <w:rPr>
              <w:rStyle w:val="24"/>
              <w:rFonts w:cs="Arial"/>
              <w:sz w:val="22"/>
              <w:lang w:val="ro-RO"/>
            </w:rPr>
            <w:t>Biserici</w:t>
          </w:r>
          <w:r>
            <w:rPr>
              <w:rFonts w:cs="Arial"/>
              <w:sz w:val="22"/>
            </w:rPr>
            <w:tab/>
          </w:r>
          <w:r>
            <w:rPr>
              <w:rFonts w:cs="Arial"/>
              <w:sz w:val="22"/>
            </w:rPr>
            <w:fldChar w:fldCharType="begin"/>
          </w:r>
          <w:r>
            <w:rPr>
              <w:rFonts w:cs="Arial"/>
              <w:sz w:val="22"/>
            </w:rPr>
            <w:instrText xml:space="preserve"> PAGEREF _Toc201926324 \h </w:instrText>
          </w:r>
          <w:r>
            <w:rPr>
              <w:rFonts w:cs="Arial"/>
              <w:sz w:val="22"/>
            </w:rPr>
            <w:fldChar w:fldCharType="separate"/>
          </w:r>
          <w:r>
            <w:rPr>
              <w:rFonts w:cs="Arial"/>
              <w:sz w:val="22"/>
            </w:rPr>
            <w:t>52</w:t>
          </w:r>
          <w:r>
            <w:rPr>
              <w:rFonts w:cs="Arial"/>
              <w:sz w:val="22"/>
            </w:rPr>
            <w:fldChar w:fldCharType="end"/>
          </w:r>
          <w:r>
            <w:rPr>
              <w:rFonts w:cs="Arial"/>
              <w:sz w:val="22"/>
            </w:rPr>
            <w:fldChar w:fldCharType="end"/>
          </w:r>
        </w:p>
        <w:p w14:paraId="61887C3B">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"_Toc201926325" </w:instrText>
          </w:r>
          <w:r>
            <w:fldChar w:fldCharType="separate"/>
          </w:r>
          <w:r>
            <w:rPr>
              <w:rStyle w:val="24"/>
              <w:rFonts w:cs="Arial"/>
              <w:sz w:val="22"/>
              <w:lang w:val="ro-RO"/>
            </w:rPr>
            <w:t>3.5.</w:t>
          </w:r>
          <w:r>
            <w:rPr>
              <w:rFonts w:cs="Arial" w:eastAsiaTheme="minorEastAsia"/>
              <w:kern w:val="2"/>
              <w:sz w:val="22"/>
              <w14:ligatures w14:val="standardContextual"/>
            </w:rPr>
            <w:tab/>
          </w:r>
          <w:r>
            <w:rPr>
              <w:rStyle w:val="24"/>
              <w:rFonts w:cs="Arial"/>
              <w:sz w:val="22"/>
              <w:lang w:val="ro-RO"/>
            </w:rPr>
            <w:t>RESURSE UMANE- PIAŢA MUNCII</w:t>
          </w:r>
          <w:r>
            <w:rPr>
              <w:rFonts w:cs="Arial"/>
              <w:sz w:val="22"/>
            </w:rPr>
            <w:tab/>
          </w:r>
          <w:r>
            <w:rPr>
              <w:rFonts w:cs="Arial"/>
              <w:sz w:val="22"/>
            </w:rPr>
            <w:fldChar w:fldCharType="begin"/>
          </w:r>
          <w:r>
            <w:rPr>
              <w:rFonts w:cs="Arial"/>
              <w:sz w:val="22"/>
            </w:rPr>
            <w:instrText xml:space="preserve"> PAGEREF _Toc201926325 \h </w:instrText>
          </w:r>
          <w:r>
            <w:rPr>
              <w:rFonts w:cs="Arial"/>
              <w:sz w:val="22"/>
            </w:rPr>
            <w:fldChar w:fldCharType="separate"/>
          </w:r>
          <w:r>
            <w:rPr>
              <w:rFonts w:cs="Arial"/>
              <w:sz w:val="22"/>
            </w:rPr>
            <w:t>53</w:t>
          </w:r>
          <w:r>
            <w:rPr>
              <w:rFonts w:cs="Arial"/>
              <w:sz w:val="22"/>
            </w:rPr>
            <w:fldChar w:fldCharType="end"/>
          </w:r>
          <w:r>
            <w:rPr>
              <w:rFonts w:cs="Arial"/>
              <w:sz w:val="22"/>
            </w:rPr>
            <w:fldChar w:fldCharType="end"/>
          </w:r>
        </w:p>
        <w:p w14:paraId="4C12C3DE">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"_Toc201926326" </w:instrText>
          </w:r>
          <w:r>
            <w:fldChar w:fldCharType="separate"/>
          </w:r>
          <w:r>
            <w:rPr>
              <w:rStyle w:val="24"/>
              <w:rFonts w:cs="Arial"/>
              <w:sz w:val="22"/>
              <w:lang w:val="ro-RO"/>
            </w:rPr>
            <w:t>3.5.1.</w:t>
          </w:r>
          <w:r>
            <w:rPr>
              <w:rFonts w:cs="Arial" w:eastAsiaTheme="minorEastAsia"/>
              <w:kern w:val="2"/>
              <w:sz w:val="22"/>
              <w14:ligatures w14:val="standardContextual"/>
            </w:rPr>
            <w:tab/>
          </w:r>
          <w:r>
            <w:rPr>
              <w:rStyle w:val="24"/>
              <w:rFonts w:cs="Arial"/>
              <w:sz w:val="22"/>
              <w:lang w:val="ro-RO"/>
            </w:rPr>
            <w:t>Structura socio–demografică a populaţiei</w:t>
          </w:r>
          <w:r>
            <w:rPr>
              <w:rFonts w:cs="Arial"/>
              <w:sz w:val="22"/>
            </w:rPr>
            <w:tab/>
          </w:r>
          <w:r>
            <w:rPr>
              <w:rFonts w:cs="Arial"/>
              <w:sz w:val="22"/>
            </w:rPr>
            <w:fldChar w:fldCharType="begin"/>
          </w:r>
          <w:r>
            <w:rPr>
              <w:rFonts w:cs="Arial"/>
              <w:sz w:val="22"/>
            </w:rPr>
            <w:instrText xml:space="preserve"> PAGEREF _Toc201926326 \h </w:instrText>
          </w:r>
          <w:r>
            <w:rPr>
              <w:rFonts w:cs="Arial"/>
              <w:sz w:val="22"/>
            </w:rPr>
            <w:fldChar w:fldCharType="separate"/>
          </w:r>
          <w:r>
            <w:rPr>
              <w:rFonts w:cs="Arial"/>
              <w:sz w:val="22"/>
            </w:rPr>
            <w:t>53</w:t>
          </w:r>
          <w:r>
            <w:rPr>
              <w:rFonts w:cs="Arial"/>
              <w:sz w:val="22"/>
            </w:rPr>
            <w:fldChar w:fldCharType="end"/>
          </w:r>
          <w:r>
            <w:rPr>
              <w:rFonts w:cs="Arial"/>
              <w:sz w:val="22"/>
            </w:rPr>
            <w:fldChar w:fldCharType="end"/>
          </w:r>
        </w:p>
        <w:p w14:paraId="06F0ECBA">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"_Toc201926327" </w:instrText>
          </w:r>
          <w:r>
            <w:fldChar w:fldCharType="separate"/>
          </w:r>
          <w:r>
            <w:rPr>
              <w:rStyle w:val="24"/>
              <w:rFonts w:cs="Arial"/>
              <w:sz w:val="22"/>
              <w:lang w:val="ro-RO"/>
            </w:rPr>
            <w:t>3.5.2.</w:t>
          </w:r>
          <w:r>
            <w:rPr>
              <w:rFonts w:cs="Arial" w:eastAsiaTheme="minorEastAsia"/>
              <w:kern w:val="2"/>
              <w:sz w:val="22"/>
              <w14:ligatures w14:val="standardContextual"/>
            </w:rPr>
            <w:tab/>
          </w:r>
          <w:r>
            <w:rPr>
              <w:rStyle w:val="24"/>
              <w:rFonts w:cs="Arial"/>
              <w:sz w:val="22"/>
              <w:lang w:val="ro-RO"/>
            </w:rPr>
            <w:t>Piața muncii</w:t>
          </w:r>
          <w:r>
            <w:rPr>
              <w:rFonts w:cs="Arial"/>
              <w:sz w:val="22"/>
            </w:rPr>
            <w:tab/>
          </w:r>
          <w:r>
            <w:rPr>
              <w:rFonts w:cs="Arial"/>
              <w:sz w:val="22"/>
            </w:rPr>
            <w:fldChar w:fldCharType="begin"/>
          </w:r>
          <w:r>
            <w:rPr>
              <w:rFonts w:cs="Arial"/>
              <w:sz w:val="22"/>
            </w:rPr>
            <w:instrText xml:space="preserve"> PAGEREF _Toc201926327 \h </w:instrText>
          </w:r>
          <w:r>
            <w:rPr>
              <w:rFonts w:cs="Arial"/>
              <w:sz w:val="22"/>
            </w:rPr>
            <w:fldChar w:fldCharType="separate"/>
          </w:r>
          <w:r>
            <w:rPr>
              <w:rFonts w:cs="Arial"/>
              <w:sz w:val="22"/>
            </w:rPr>
            <w:t>54</w:t>
          </w:r>
          <w:r>
            <w:rPr>
              <w:rFonts w:cs="Arial"/>
              <w:sz w:val="22"/>
            </w:rPr>
            <w:fldChar w:fldCharType="end"/>
          </w:r>
          <w:r>
            <w:rPr>
              <w:rFonts w:cs="Arial"/>
              <w:sz w:val="22"/>
            </w:rPr>
            <w:fldChar w:fldCharType="end"/>
          </w:r>
        </w:p>
        <w:p w14:paraId="63B63D36">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"_Toc201926328" </w:instrText>
          </w:r>
          <w:r>
            <w:fldChar w:fldCharType="separate"/>
          </w:r>
          <w:r>
            <w:rPr>
              <w:rStyle w:val="24"/>
              <w:rFonts w:cs="Arial"/>
              <w:sz w:val="22"/>
              <w:lang w:val="ro-RO"/>
            </w:rPr>
            <w:t>3.5.3.</w:t>
          </w:r>
          <w:r>
            <w:rPr>
              <w:rFonts w:cs="Arial" w:eastAsiaTheme="minorEastAsia"/>
              <w:kern w:val="2"/>
              <w:sz w:val="22"/>
              <w14:ligatures w14:val="standardContextual"/>
            </w:rPr>
            <w:tab/>
          </w:r>
          <w:r>
            <w:rPr>
              <w:rStyle w:val="24"/>
              <w:rFonts w:cs="Arial"/>
              <w:sz w:val="22"/>
              <w:lang w:val="ro-RO"/>
            </w:rPr>
            <w:t>Sănătate şi asistenţă socială</w:t>
          </w:r>
          <w:r>
            <w:rPr>
              <w:rFonts w:cs="Arial"/>
              <w:sz w:val="22"/>
            </w:rPr>
            <w:tab/>
          </w:r>
          <w:r>
            <w:rPr>
              <w:rFonts w:cs="Arial"/>
              <w:sz w:val="22"/>
            </w:rPr>
            <w:fldChar w:fldCharType="begin"/>
          </w:r>
          <w:r>
            <w:rPr>
              <w:rFonts w:cs="Arial"/>
              <w:sz w:val="22"/>
            </w:rPr>
            <w:instrText xml:space="preserve"> PAGEREF _Toc201926328 \h </w:instrText>
          </w:r>
          <w:r>
            <w:rPr>
              <w:rFonts w:cs="Arial"/>
              <w:sz w:val="22"/>
            </w:rPr>
            <w:fldChar w:fldCharType="separate"/>
          </w:r>
          <w:r>
            <w:rPr>
              <w:rFonts w:cs="Arial"/>
              <w:sz w:val="22"/>
            </w:rPr>
            <w:t>55</w:t>
          </w:r>
          <w:r>
            <w:rPr>
              <w:rFonts w:cs="Arial"/>
              <w:sz w:val="22"/>
            </w:rPr>
            <w:fldChar w:fldCharType="end"/>
          </w:r>
          <w:r>
            <w:rPr>
              <w:rFonts w:cs="Arial"/>
              <w:sz w:val="22"/>
            </w:rPr>
            <w:fldChar w:fldCharType="end"/>
          </w:r>
        </w:p>
        <w:p w14:paraId="61572FCF">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"_Toc201926329" </w:instrText>
          </w:r>
          <w:r>
            <w:fldChar w:fldCharType="separate"/>
          </w:r>
          <w:r>
            <w:rPr>
              <w:rStyle w:val="24"/>
              <w:rFonts w:cs="Arial"/>
              <w:sz w:val="22"/>
              <w:lang w:val="ro-RO"/>
            </w:rPr>
            <w:t>3.6.</w:t>
          </w:r>
          <w:r>
            <w:rPr>
              <w:rFonts w:cs="Arial" w:eastAsiaTheme="minorEastAsia"/>
              <w:kern w:val="2"/>
              <w:sz w:val="22"/>
              <w14:ligatures w14:val="standardContextual"/>
            </w:rPr>
            <w:tab/>
          </w:r>
          <w:r>
            <w:rPr>
              <w:rStyle w:val="24"/>
              <w:rFonts w:cs="Arial"/>
              <w:sz w:val="22"/>
              <w:lang w:val="ro-RO"/>
            </w:rPr>
            <w:t>ADMINISTRAŢIE PUBLICĂ LOCALĂ</w:t>
          </w:r>
          <w:r>
            <w:rPr>
              <w:rFonts w:cs="Arial"/>
              <w:sz w:val="22"/>
            </w:rPr>
            <w:tab/>
          </w:r>
          <w:r>
            <w:rPr>
              <w:rFonts w:cs="Arial"/>
              <w:sz w:val="22"/>
            </w:rPr>
            <w:fldChar w:fldCharType="begin"/>
          </w:r>
          <w:r>
            <w:rPr>
              <w:rFonts w:cs="Arial"/>
              <w:sz w:val="22"/>
            </w:rPr>
            <w:instrText xml:space="preserve"> PAGEREF _Toc201926329 \h </w:instrText>
          </w:r>
          <w:r>
            <w:rPr>
              <w:rFonts w:cs="Arial"/>
              <w:sz w:val="22"/>
            </w:rPr>
            <w:fldChar w:fldCharType="separate"/>
          </w:r>
          <w:r>
            <w:rPr>
              <w:rFonts w:cs="Arial"/>
              <w:sz w:val="22"/>
            </w:rPr>
            <w:t>56</w:t>
          </w:r>
          <w:r>
            <w:rPr>
              <w:rFonts w:cs="Arial"/>
              <w:sz w:val="22"/>
            </w:rPr>
            <w:fldChar w:fldCharType="end"/>
          </w:r>
          <w:r>
            <w:rPr>
              <w:rFonts w:cs="Arial"/>
              <w:sz w:val="22"/>
            </w:rPr>
            <w:fldChar w:fldCharType="end"/>
          </w:r>
        </w:p>
        <w:p w14:paraId="68D20751">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"_Toc201926330" </w:instrText>
          </w:r>
          <w:r>
            <w:fldChar w:fldCharType="separate"/>
          </w:r>
          <w:r>
            <w:rPr>
              <w:rStyle w:val="24"/>
              <w:rFonts w:cs="Arial"/>
              <w:sz w:val="22"/>
              <w:lang w:val="ro-RO"/>
            </w:rPr>
            <w:t>3.7.</w:t>
          </w:r>
          <w:r>
            <w:rPr>
              <w:rFonts w:cs="Arial" w:eastAsiaTheme="minorEastAsia"/>
              <w:kern w:val="2"/>
              <w:sz w:val="22"/>
              <w14:ligatures w14:val="standardContextual"/>
            </w:rPr>
            <w:tab/>
          </w:r>
          <w:r>
            <w:rPr>
              <w:rStyle w:val="24"/>
              <w:rFonts w:cs="Arial"/>
              <w:sz w:val="22"/>
              <w:lang w:val="ro-RO"/>
            </w:rPr>
            <w:t>ANALIZA SWOT</w:t>
          </w:r>
          <w:r>
            <w:rPr>
              <w:rFonts w:cs="Arial"/>
              <w:sz w:val="22"/>
            </w:rPr>
            <w:tab/>
          </w:r>
          <w:r>
            <w:rPr>
              <w:rFonts w:cs="Arial"/>
              <w:sz w:val="22"/>
            </w:rPr>
            <w:fldChar w:fldCharType="begin"/>
          </w:r>
          <w:r>
            <w:rPr>
              <w:rFonts w:cs="Arial"/>
              <w:sz w:val="22"/>
            </w:rPr>
            <w:instrText xml:space="preserve"> PAGEREF _Toc201926330 \h </w:instrText>
          </w:r>
          <w:r>
            <w:rPr>
              <w:rFonts w:cs="Arial"/>
              <w:sz w:val="22"/>
            </w:rPr>
            <w:fldChar w:fldCharType="separate"/>
          </w:r>
          <w:r>
            <w:rPr>
              <w:rFonts w:cs="Arial"/>
              <w:sz w:val="22"/>
            </w:rPr>
            <w:t>57</w:t>
          </w:r>
          <w:r>
            <w:rPr>
              <w:rFonts w:cs="Arial"/>
              <w:sz w:val="22"/>
            </w:rPr>
            <w:fldChar w:fldCharType="end"/>
          </w:r>
          <w:r>
            <w:rPr>
              <w:rFonts w:cs="Arial"/>
              <w:sz w:val="22"/>
            </w:rPr>
            <w:fldChar w:fldCharType="end"/>
          </w:r>
        </w:p>
        <w:p w14:paraId="5C6F9693">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"_Toc201926331" </w:instrText>
          </w:r>
          <w:r>
            <w:fldChar w:fldCharType="separate"/>
          </w:r>
          <w:r>
            <w:rPr>
              <w:rStyle w:val="24"/>
              <w:rFonts w:cs="Arial"/>
              <w:sz w:val="22"/>
              <w:lang w:val="ro-RO"/>
            </w:rPr>
            <w:t>3.8.</w:t>
          </w:r>
          <w:r>
            <w:rPr>
              <w:rFonts w:cs="Arial" w:eastAsiaTheme="minorEastAsia"/>
              <w:kern w:val="2"/>
              <w:sz w:val="22"/>
              <w14:ligatures w14:val="standardContextual"/>
            </w:rPr>
            <w:tab/>
          </w:r>
          <w:r>
            <w:rPr>
              <w:rStyle w:val="24"/>
              <w:rFonts w:cs="Arial"/>
              <w:sz w:val="22"/>
              <w:lang w:val="ro-RO"/>
            </w:rPr>
            <w:t>PROVOCĂRI ȘI POSIBILE PROPUNERI/INTERVENȚII</w:t>
          </w:r>
          <w:r>
            <w:rPr>
              <w:rFonts w:cs="Arial"/>
              <w:sz w:val="22"/>
            </w:rPr>
            <w:tab/>
          </w:r>
          <w:r>
            <w:rPr>
              <w:rFonts w:cs="Arial"/>
              <w:sz w:val="22"/>
            </w:rPr>
            <w:fldChar w:fldCharType="begin"/>
          </w:r>
          <w:r>
            <w:rPr>
              <w:rFonts w:cs="Arial"/>
              <w:sz w:val="22"/>
            </w:rPr>
            <w:instrText xml:space="preserve"> PAGEREF _Toc201926331 \h </w:instrText>
          </w:r>
          <w:r>
            <w:rPr>
              <w:rFonts w:cs="Arial"/>
              <w:sz w:val="22"/>
            </w:rPr>
            <w:fldChar w:fldCharType="separate"/>
          </w:r>
          <w:r>
            <w:rPr>
              <w:rFonts w:cs="Arial"/>
              <w:sz w:val="22"/>
            </w:rPr>
            <w:t>66</w:t>
          </w:r>
          <w:r>
            <w:rPr>
              <w:rFonts w:cs="Arial"/>
              <w:sz w:val="22"/>
            </w:rPr>
            <w:fldChar w:fldCharType="end"/>
          </w:r>
          <w:r>
            <w:rPr>
              <w:rFonts w:cs="Arial"/>
              <w:sz w:val="22"/>
            </w:rPr>
            <w:fldChar w:fldCharType="end"/>
          </w:r>
        </w:p>
        <w:p w14:paraId="3FF071AD">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"_Toc201926332" </w:instrText>
          </w:r>
          <w:r>
            <w:fldChar w:fldCharType="separate"/>
          </w:r>
          <w:r>
            <w:rPr>
              <w:rStyle w:val="24"/>
              <w:rFonts w:cs="Arial"/>
              <w:sz w:val="22"/>
              <w:lang w:val="ro-RO"/>
            </w:rPr>
            <w:t>3.9.</w:t>
          </w:r>
          <w:r>
            <w:rPr>
              <w:rFonts w:cs="Arial" w:eastAsiaTheme="minorEastAsia"/>
              <w:kern w:val="2"/>
              <w:sz w:val="22"/>
              <w14:ligatures w14:val="standardContextual"/>
            </w:rPr>
            <w:tab/>
          </w:r>
          <w:r>
            <w:rPr>
              <w:rStyle w:val="24"/>
              <w:rFonts w:cs="Arial"/>
              <w:sz w:val="22"/>
              <w:lang w:val="ro-RO"/>
            </w:rPr>
            <w:t>RISCURI SI MASURI DE ATENUARE A RISCURILOR</w:t>
          </w:r>
          <w:r>
            <w:rPr>
              <w:rFonts w:cs="Arial"/>
              <w:sz w:val="22"/>
            </w:rPr>
            <w:tab/>
          </w:r>
          <w:r>
            <w:rPr>
              <w:rFonts w:cs="Arial"/>
              <w:sz w:val="22"/>
            </w:rPr>
            <w:fldChar w:fldCharType="begin"/>
          </w:r>
          <w:r>
            <w:rPr>
              <w:rFonts w:cs="Arial"/>
              <w:sz w:val="22"/>
            </w:rPr>
            <w:instrText xml:space="preserve"> PAGEREF _Toc201926332 \h </w:instrText>
          </w:r>
          <w:r>
            <w:rPr>
              <w:rFonts w:cs="Arial"/>
              <w:sz w:val="22"/>
            </w:rPr>
            <w:fldChar w:fldCharType="separate"/>
          </w:r>
          <w:r>
            <w:rPr>
              <w:rFonts w:cs="Arial"/>
              <w:sz w:val="22"/>
            </w:rPr>
            <w:t>72</w:t>
          </w:r>
          <w:r>
            <w:rPr>
              <w:rFonts w:cs="Arial"/>
              <w:sz w:val="22"/>
            </w:rPr>
            <w:fldChar w:fldCharType="end"/>
          </w:r>
          <w:r>
            <w:rPr>
              <w:rFonts w:cs="Arial"/>
              <w:sz w:val="22"/>
            </w:rPr>
            <w:fldChar w:fldCharType="end"/>
          </w:r>
        </w:p>
        <w:p w14:paraId="0645BF63">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"_Toc201926333" </w:instrText>
          </w:r>
          <w:r>
            <w:fldChar w:fldCharType="separate"/>
          </w:r>
          <w:r>
            <w:rPr>
              <w:rStyle w:val="24"/>
              <w:rFonts w:cs="Arial"/>
              <w:sz w:val="22"/>
              <w:lang w:val="ro-RO"/>
            </w:rPr>
            <w:t>3.9.1.</w:t>
          </w:r>
          <w:r>
            <w:rPr>
              <w:rFonts w:cs="Arial" w:eastAsiaTheme="minorEastAsia"/>
              <w:kern w:val="2"/>
              <w:sz w:val="22"/>
              <w14:ligatures w14:val="standardContextual"/>
            </w:rPr>
            <w:tab/>
          </w:r>
          <w:r>
            <w:rPr>
              <w:rStyle w:val="24"/>
              <w:rFonts w:cs="Arial"/>
              <w:sz w:val="22"/>
              <w:lang w:val="ro-RO"/>
            </w:rPr>
            <w:t>Analiza riscurilor</w:t>
          </w:r>
          <w:r>
            <w:rPr>
              <w:rFonts w:cs="Arial"/>
              <w:sz w:val="22"/>
            </w:rPr>
            <w:tab/>
          </w:r>
          <w:r>
            <w:rPr>
              <w:rFonts w:cs="Arial"/>
              <w:sz w:val="22"/>
            </w:rPr>
            <w:fldChar w:fldCharType="begin"/>
          </w:r>
          <w:r>
            <w:rPr>
              <w:rFonts w:cs="Arial"/>
              <w:sz w:val="22"/>
            </w:rPr>
            <w:instrText xml:space="preserve"> PAGEREF _Toc201926333 \h </w:instrText>
          </w:r>
          <w:r>
            <w:rPr>
              <w:rFonts w:cs="Arial"/>
              <w:sz w:val="22"/>
            </w:rPr>
            <w:fldChar w:fldCharType="separate"/>
          </w:r>
          <w:r>
            <w:rPr>
              <w:rFonts w:cs="Arial"/>
              <w:sz w:val="22"/>
            </w:rPr>
            <w:t>73</w:t>
          </w:r>
          <w:r>
            <w:rPr>
              <w:rFonts w:cs="Arial"/>
              <w:sz w:val="22"/>
            </w:rPr>
            <w:fldChar w:fldCharType="end"/>
          </w:r>
          <w:r>
            <w:rPr>
              <w:rFonts w:cs="Arial"/>
              <w:sz w:val="22"/>
            </w:rPr>
            <w:fldChar w:fldCharType="end"/>
          </w:r>
        </w:p>
        <w:p w14:paraId="3CCBDBA8">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"_Toc201926334" </w:instrText>
          </w:r>
          <w:r>
            <w:fldChar w:fldCharType="separate"/>
          </w:r>
          <w:r>
            <w:rPr>
              <w:rStyle w:val="24"/>
              <w:rFonts w:cs="Arial"/>
              <w:sz w:val="22"/>
              <w:lang w:val="ro-RO"/>
            </w:rPr>
            <w:t>3.9.2.</w:t>
          </w:r>
          <w:r>
            <w:rPr>
              <w:rFonts w:cs="Arial" w:eastAsiaTheme="minorEastAsia"/>
              <w:kern w:val="2"/>
              <w:sz w:val="22"/>
              <w14:ligatures w14:val="standardContextual"/>
            </w:rPr>
            <w:tab/>
          </w:r>
          <w:r>
            <w:rPr>
              <w:rStyle w:val="24"/>
              <w:rFonts w:cs="Arial"/>
              <w:sz w:val="22"/>
              <w:lang w:val="ro-RO"/>
            </w:rPr>
            <w:t>Planul de măsuri pentru atenuarea riscurilor în implementarea SDL</w:t>
          </w:r>
          <w:r>
            <w:rPr>
              <w:rFonts w:cs="Arial"/>
              <w:sz w:val="22"/>
            </w:rPr>
            <w:tab/>
          </w:r>
          <w:r>
            <w:rPr>
              <w:rFonts w:cs="Arial"/>
              <w:sz w:val="22"/>
            </w:rPr>
            <w:fldChar w:fldCharType="begin"/>
          </w:r>
          <w:r>
            <w:rPr>
              <w:rFonts w:cs="Arial"/>
              <w:sz w:val="22"/>
            </w:rPr>
            <w:instrText xml:space="preserve"> PAGEREF _Toc201926334 \h </w:instrText>
          </w:r>
          <w:r>
            <w:rPr>
              <w:rFonts w:cs="Arial"/>
              <w:sz w:val="22"/>
            </w:rPr>
            <w:fldChar w:fldCharType="separate"/>
          </w:r>
          <w:r>
            <w:rPr>
              <w:rFonts w:cs="Arial"/>
              <w:sz w:val="22"/>
            </w:rPr>
            <w:t>74</w:t>
          </w:r>
          <w:r>
            <w:rPr>
              <w:rFonts w:cs="Arial"/>
              <w:sz w:val="22"/>
            </w:rPr>
            <w:fldChar w:fldCharType="end"/>
          </w:r>
          <w:r>
            <w:rPr>
              <w:rFonts w:cs="Arial"/>
              <w:sz w:val="22"/>
            </w:rPr>
            <w:fldChar w:fldCharType="end"/>
          </w:r>
        </w:p>
        <w:p w14:paraId="73B699B0">
          <w:pPr>
            <w:pStyle w:val="29"/>
            <w:tabs>
              <w:tab w:val="left" w:pos="1760"/>
              <w:tab w:val="right" w:leader="dot" w:pos="9629"/>
            </w:tabs>
            <w:rPr>
              <w:rFonts w:cs="Arial" w:eastAsiaTheme="minorEastAsia"/>
              <w:kern w:val="2"/>
              <w:sz w:val="22"/>
              <w14:ligatures w14:val="standardContextual"/>
            </w:rPr>
          </w:pPr>
          <w:r>
            <w:fldChar w:fldCharType="begin"/>
          </w:r>
          <w:r>
            <w:instrText xml:space="preserve"> HYPERLINK \l "_Toc201926335" </w:instrText>
          </w:r>
          <w:r>
            <w:fldChar w:fldCharType="separate"/>
          </w:r>
          <w:r>
            <w:rPr>
              <w:rStyle w:val="24"/>
              <w:rFonts w:cs="Arial"/>
              <w:sz w:val="22"/>
              <w:lang w:val="ro-RO"/>
            </w:rPr>
            <w:t>3.10.</w:t>
          </w:r>
          <w:r>
            <w:rPr>
              <w:rFonts w:cs="Arial" w:eastAsiaTheme="minorEastAsia"/>
              <w:kern w:val="2"/>
              <w:sz w:val="22"/>
              <w14:ligatures w14:val="standardContextual"/>
            </w:rPr>
            <w:tab/>
          </w:r>
          <w:r>
            <w:rPr>
              <w:rStyle w:val="24"/>
              <w:rFonts w:cs="Arial"/>
              <w:sz w:val="22"/>
              <w:lang w:val="ro-RO"/>
            </w:rPr>
            <w:t>CADRUL PARTENERIAL PENTRU ELABORAREA ȘI IMPLEMENTAREA STRATEGIEI</w:t>
          </w:r>
          <w:r>
            <w:rPr>
              <w:rFonts w:cs="Arial"/>
              <w:sz w:val="22"/>
            </w:rPr>
            <w:tab/>
          </w:r>
          <w:r>
            <w:rPr>
              <w:rFonts w:cs="Arial"/>
              <w:sz w:val="22"/>
            </w:rPr>
            <w:fldChar w:fldCharType="begin"/>
          </w:r>
          <w:r>
            <w:rPr>
              <w:rFonts w:cs="Arial"/>
              <w:sz w:val="22"/>
            </w:rPr>
            <w:instrText xml:space="preserve"> PAGEREF _Toc201926335 \h </w:instrText>
          </w:r>
          <w:r>
            <w:rPr>
              <w:rFonts w:cs="Arial"/>
              <w:sz w:val="22"/>
            </w:rPr>
            <w:fldChar w:fldCharType="separate"/>
          </w:r>
          <w:r>
            <w:rPr>
              <w:rFonts w:cs="Arial"/>
              <w:sz w:val="22"/>
            </w:rPr>
            <w:t>75</w:t>
          </w:r>
          <w:r>
            <w:rPr>
              <w:rFonts w:cs="Arial"/>
              <w:sz w:val="22"/>
            </w:rPr>
            <w:fldChar w:fldCharType="end"/>
          </w:r>
          <w:r>
            <w:rPr>
              <w:rFonts w:cs="Arial"/>
              <w:sz w:val="22"/>
            </w:rPr>
            <w:fldChar w:fldCharType="end"/>
          </w:r>
        </w:p>
        <w:p w14:paraId="3F32F717">
          <w:pPr>
            <w:pStyle w:val="30"/>
            <w:tabs>
              <w:tab w:val="left" w:pos="2052"/>
              <w:tab w:val="right" w:leader="dot" w:pos="9629"/>
            </w:tabs>
            <w:rPr>
              <w:rFonts w:cs="Arial" w:eastAsiaTheme="minorEastAsia"/>
              <w:kern w:val="2"/>
              <w:sz w:val="22"/>
              <w14:ligatures w14:val="standardContextual"/>
            </w:rPr>
          </w:pPr>
          <w:r>
            <w:fldChar w:fldCharType="begin"/>
          </w:r>
          <w:r>
            <w:instrText xml:space="preserve"> HYPERLINK \l "_Toc201926336" </w:instrText>
          </w:r>
          <w:r>
            <w:fldChar w:fldCharType="separate"/>
          </w:r>
          <w:r>
            <w:rPr>
              <w:rStyle w:val="24"/>
              <w:rFonts w:cs="Arial"/>
              <w:sz w:val="22"/>
              <w:lang w:val="ro-RO"/>
            </w:rPr>
            <w:t>3.10.1.</w:t>
          </w:r>
          <w:r>
            <w:rPr>
              <w:rFonts w:cs="Arial" w:eastAsiaTheme="minorEastAsia"/>
              <w:kern w:val="2"/>
              <w:sz w:val="22"/>
              <w14:ligatures w14:val="standardContextual"/>
            </w:rPr>
            <w:tab/>
          </w:r>
          <w:r>
            <w:rPr>
              <w:rStyle w:val="24"/>
              <w:rFonts w:cs="Arial"/>
              <w:sz w:val="22"/>
              <w:lang w:val="ro-RO"/>
            </w:rPr>
            <w:t>MECANISMUL DE COLABORARE ȘI CONSULTARE PUBLICĂ</w:t>
          </w:r>
          <w:r>
            <w:rPr>
              <w:rFonts w:cs="Arial"/>
              <w:sz w:val="22"/>
            </w:rPr>
            <w:tab/>
          </w:r>
          <w:r>
            <w:rPr>
              <w:rFonts w:cs="Arial"/>
              <w:sz w:val="22"/>
            </w:rPr>
            <w:fldChar w:fldCharType="begin"/>
          </w:r>
          <w:r>
            <w:rPr>
              <w:rFonts w:cs="Arial"/>
              <w:sz w:val="22"/>
            </w:rPr>
            <w:instrText xml:space="preserve"> PAGEREF _Toc201926336 \h </w:instrText>
          </w:r>
          <w:r>
            <w:rPr>
              <w:rFonts w:cs="Arial"/>
              <w:sz w:val="22"/>
            </w:rPr>
            <w:fldChar w:fldCharType="separate"/>
          </w:r>
          <w:r>
            <w:rPr>
              <w:rFonts w:cs="Arial"/>
              <w:sz w:val="22"/>
            </w:rPr>
            <w:t>75</w:t>
          </w:r>
          <w:r>
            <w:rPr>
              <w:rFonts w:cs="Arial"/>
              <w:sz w:val="22"/>
            </w:rPr>
            <w:fldChar w:fldCharType="end"/>
          </w:r>
          <w:r>
            <w:rPr>
              <w:rFonts w:cs="Arial"/>
              <w:sz w:val="22"/>
            </w:rPr>
            <w:fldChar w:fldCharType="end"/>
          </w:r>
        </w:p>
        <w:p w14:paraId="213DF477">
          <w:pPr>
            <w:pStyle w:val="30"/>
            <w:tabs>
              <w:tab w:val="left" w:pos="2052"/>
              <w:tab w:val="right" w:leader="dot" w:pos="9629"/>
            </w:tabs>
            <w:rPr>
              <w:rFonts w:cs="Arial" w:eastAsiaTheme="minorEastAsia"/>
              <w:kern w:val="2"/>
              <w:sz w:val="22"/>
              <w14:ligatures w14:val="standardContextual"/>
            </w:rPr>
          </w:pPr>
          <w:r>
            <w:fldChar w:fldCharType="begin"/>
          </w:r>
          <w:r>
            <w:instrText xml:space="preserve"> HYPERLINK \l "_Toc201926337" </w:instrText>
          </w:r>
          <w:r>
            <w:fldChar w:fldCharType="separate"/>
          </w:r>
          <w:r>
            <w:rPr>
              <w:rStyle w:val="24"/>
              <w:rFonts w:cs="Arial"/>
              <w:sz w:val="22"/>
              <w:lang w:val="ro-RO"/>
            </w:rPr>
            <w:t>3.10.2.</w:t>
          </w:r>
          <w:r>
            <w:rPr>
              <w:rFonts w:cs="Arial" w:eastAsiaTheme="minorEastAsia"/>
              <w:kern w:val="2"/>
              <w:sz w:val="22"/>
              <w14:ligatures w14:val="standardContextual"/>
            </w:rPr>
            <w:tab/>
          </w:r>
          <w:r>
            <w:rPr>
              <w:rStyle w:val="24"/>
              <w:rFonts w:cs="Arial"/>
              <w:sz w:val="22"/>
              <w:lang w:val="ro-RO"/>
            </w:rPr>
            <w:t>REZULTATELE PROCESULUI DE CONSULTARE PUBLICĂ</w:t>
          </w:r>
          <w:r>
            <w:rPr>
              <w:rFonts w:cs="Arial"/>
              <w:sz w:val="22"/>
            </w:rPr>
            <w:tab/>
          </w:r>
          <w:r>
            <w:rPr>
              <w:rFonts w:cs="Arial"/>
              <w:sz w:val="22"/>
            </w:rPr>
            <w:fldChar w:fldCharType="begin"/>
          </w:r>
          <w:r>
            <w:rPr>
              <w:rFonts w:cs="Arial"/>
              <w:sz w:val="22"/>
            </w:rPr>
            <w:instrText xml:space="preserve"> PAGEREF _Toc201926337 \h </w:instrText>
          </w:r>
          <w:r>
            <w:rPr>
              <w:rFonts w:cs="Arial"/>
              <w:sz w:val="22"/>
            </w:rPr>
            <w:fldChar w:fldCharType="separate"/>
          </w:r>
          <w:r>
            <w:rPr>
              <w:rFonts w:cs="Arial"/>
              <w:sz w:val="22"/>
            </w:rPr>
            <w:t>76</w:t>
          </w:r>
          <w:r>
            <w:rPr>
              <w:rFonts w:cs="Arial"/>
              <w:sz w:val="22"/>
            </w:rPr>
            <w:fldChar w:fldCharType="end"/>
          </w:r>
          <w:r>
            <w:rPr>
              <w:rFonts w:cs="Arial"/>
              <w:sz w:val="22"/>
            </w:rPr>
            <w:fldChar w:fldCharType="end"/>
          </w:r>
        </w:p>
        <w:p w14:paraId="60D83B2A">
          <w:pPr>
            <w:pStyle w:val="28"/>
            <w:tabs>
              <w:tab w:val="right" w:leader="dot" w:pos="9629"/>
            </w:tabs>
            <w:rPr>
              <w:rFonts w:cs="Arial" w:eastAsiaTheme="minorEastAsia"/>
              <w:kern w:val="2"/>
              <w:sz w:val="22"/>
              <w14:ligatures w14:val="standardContextual"/>
            </w:rPr>
          </w:pPr>
          <w:r>
            <w:fldChar w:fldCharType="begin"/>
          </w:r>
          <w:r>
            <w:instrText xml:space="preserve"> HYPERLINK \l "_Toc201926338" </w:instrText>
          </w:r>
          <w:r>
            <w:fldChar w:fldCharType="separate"/>
          </w:r>
          <w:r>
            <w:rPr>
              <w:rStyle w:val="24"/>
              <w:rFonts w:cs="Arial"/>
              <w:sz w:val="22"/>
              <w:lang w:val="ro-RO"/>
            </w:rPr>
            <w:t>CAPITOLUL 4</w:t>
          </w:r>
          <w:r>
            <w:rPr>
              <w:rFonts w:cs="Arial"/>
              <w:sz w:val="22"/>
            </w:rPr>
            <w:tab/>
          </w:r>
          <w:r>
            <w:rPr>
              <w:rFonts w:cs="Arial"/>
              <w:sz w:val="22"/>
            </w:rPr>
            <w:fldChar w:fldCharType="begin"/>
          </w:r>
          <w:r>
            <w:rPr>
              <w:rFonts w:cs="Arial"/>
              <w:sz w:val="22"/>
            </w:rPr>
            <w:instrText xml:space="preserve"> PAGEREF _Toc201926338 \h </w:instrText>
          </w:r>
          <w:r>
            <w:rPr>
              <w:rFonts w:cs="Arial"/>
              <w:sz w:val="22"/>
            </w:rPr>
            <w:fldChar w:fldCharType="separate"/>
          </w:r>
          <w:r>
            <w:rPr>
              <w:rFonts w:cs="Arial"/>
              <w:sz w:val="22"/>
            </w:rPr>
            <w:t>77</w:t>
          </w:r>
          <w:r>
            <w:rPr>
              <w:rFonts w:cs="Arial"/>
              <w:sz w:val="22"/>
            </w:rPr>
            <w:fldChar w:fldCharType="end"/>
          </w:r>
          <w:r>
            <w:rPr>
              <w:rFonts w:cs="Arial"/>
              <w:sz w:val="22"/>
            </w:rPr>
            <w:fldChar w:fldCharType="end"/>
          </w:r>
        </w:p>
        <w:p w14:paraId="6262B477">
          <w:pPr>
            <w:pStyle w:val="28"/>
            <w:tabs>
              <w:tab w:val="right" w:leader="dot" w:pos="9629"/>
            </w:tabs>
            <w:rPr>
              <w:rFonts w:cs="Arial" w:eastAsiaTheme="minorEastAsia"/>
              <w:kern w:val="2"/>
              <w:sz w:val="22"/>
              <w14:ligatures w14:val="standardContextual"/>
            </w:rPr>
          </w:pPr>
          <w:r>
            <w:fldChar w:fldCharType="begin"/>
          </w:r>
          <w:r>
            <w:instrText xml:space="preserve"> HYPERLINK \l "_Toc201926339" </w:instrText>
          </w:r>
          <w:r>
            <w:fldChar w:fldCharType="separate"/>
          </w:r>
          <w:r>
            <w:rPr>
              <w:rStyle w:val="24"/>
              <w:rFonts w:cs="Arial"/>
              <w:sz w:val="22"/>
              <w:lang w:val="ro-RO"/>
            </w:rPr>
            <w:t>STRATEGIA DE DEZVOLTARE PROPUSĂ</w:t>
          </w:r>
          <w:r>
            <w:rPr>
              <w:rFonts w:cs="Arial"/>
              <w:sz w:val="22"/>
            </w:rPr>
            <w:tab/>
          </w:r>
          <w:r>
            <w:rPr>
              <w:rFonts w:cs="Arial"/>
              <w:sz w:val="22"/>
            </w:rPr>
            <w:fldChar w:fldCharType="begin"/>
          </w:r>
          <w:r>
            <w:rPr>
              <w:rFonts w:cs="Arial"/>
              <w:sz w:val="22"/>
            </w:rPr>
            <w:instrText xml:space="preserve"> PAGEREF _Toc201926339 \h </w:instrText>
          </w:r>
          <w:r>
            <w:rPr>
              <w:rFonts w:cs="Arial"/>
              <w:sz w:val="22"/>
            </w:rPr>
            <w:fldChar w:fldCharType="separate"/>
          </w:r>
          <w:r>
            <w:rPr>
              <w:rFonts w:cs="Arial"/>
              <w:sz w:val="22"/>
            </w:rPr>
            <w:t>77</w:t>
          </w:r>
          <w:r>
            <w:rPr>
              <w:rFonts w:cs="Arial"/>
              <w:sz w:val="22"/>
            </w:rPr>
            <w:fldChar w:fldCharType="end"/>
          </w:r>
          <w:r>
            <w:rPr>
              <w:rFonts w:cs="Arial"/>
              <w:sz w:val="22"/>
            </w:rPr>
            <w:fldChar w:fldCharType="end"/>
          </w:r>
        </w:p>
        <w:p w14:paraId="7FB21CE2">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"_Toc201926340" </w:instrText>
          </w:r>
          <w:r>
            <w:fldChar w:fldCharType="separate"/>
          </w:r>
          <w:r>
            <w:rPr>
              <w:rStyle w:val="24"/>
              <w:rFonts w:cs="Arial"/>
              <w:sz w:val="22"/>
              <w:lang w:val="ro-RO"/>
            </w:rPr>
            <w:t>4.1.</w:t>
          </w:r>
          <w:r>
            <w:rPr>
              <w:rFonts w:cs="Arial" w:eastAsiaTheme="minorEastAsia"/>
              <w:kern w:val="2"/>
              <w:sz w:val="22"/>
              <w14:ligatures w14:val="standardContextual"/>
            </w:rPr>
            <w:tab/>
          </w:r>
          <w:r>
            <w:rPr>
              <w:rStyle w:val="24"/>
              <w:rFonts w:cs="Arial"/>
              <w:sz w:val="22"/>
              <w:lang w:val="ro-RO"/>
            </w:rPr>
            <w:t>VIZIUNEA STRATEGIEI LOCALE</w:t>
          </w:r>
          <w:r>
            <w:rPr>
              <w:rFonts w:cs="Arial"/>
              <w:sz w:val="22"/>
            </w:rPr>
            <w:tab/>
          </w:r>
          <w:r>
            <w:rPr>
              <w:rFonts w:cs="Arial"/>
              <w:sz w:val="22"/>
            </w:rPr>
            <w:fldChar w:fldCharType="begin"/>
          </w:r>
          <w:r>
            <w:rPr>
              <w:rFonts w:cs="Arial"/>
              <w:sz w:val="22"/>
            </w:rPr>
            <w:instrText xml:space="preserve"> PAGEREF _Toc201926340 \h </w:instrText>
          </w:r>
          <w:r>
            <w:rPr>
              <w:rFonts w:cs="Arial"/>
              <w:sz w:val="22"/>
            </w:rPr>
            <w:fldChar w:fldCharType="separate"/>
          </w:r>
          <w:r>
            <w:rPr>
              <w:rFonts w:cs="Arial"/>
              <w:sz w:val="22"/>
            </w:rPr>
            <w:t>77</w:t>
          </w:r>
          <w:r>
            <w:rPr>
              <w:rFonts w:cs="Arial"/>
              <w:sz w:val="22"/>
            </w:rPr>
            <w:fldChar w:fldCharType="end"/>
          </w:r>
          <w:r>
            <w:rPr>
              <w:rFonts w:cs="Arial"/>
              <w:sz w:val="22"/>
            </w:rPr>
            <w:fldChar w:fldCharType="end"/>
          </w:r>
        </w:p>
        <w:p w14:paraId="6F0AFA44">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"_Toc201926341" </w:instrText>
          </w:r>
          <w:r>
            <w:fldChar w:fldCharType="separate"/>
          </w:r>
          <w:r>
            <w:rPr>
              <w:rStyle w:val="24"/>
              <w:rFonts w:cs="Arial"/>
              <w:sz w:val="22"/>
              <w:lang w:val="ro-RO"/>
            </w:rPr>
            <w:t>4.2.</w:t>
          </w:r>
          <w:r>
            <w:rPr>
              <w:rFonts w:cs="Arial" w:eastAsiaTheme="minorEastAsia"/>
              <w:kern w:val="2"/>
              <w:sz w:val="22"/>
              <w14:ligatures w14:val="standardContextual"/>
            </w:rPr>
            <w:tab/>
          </w:r>
          <w:r>
            <w:rPr>
              <w:rStyle w:val="24"/>
              <w:rFonts w:cs="Arial"/>
              <w:sz w:val="22"/>
              <w:lang w:val="ro-RO"/>
            </w:rPr>
            <w:t>Obiectiv general</w:t>
          </w:r>
          <w:r>
            <w:rPr>
              <w:rFonts w:cs="Arial"/>
              <w:sz w:val="22"/>
            </w:rPr>
            <w:tab/>
          </w:r>
          <w:r>
            <w:rPr>
              <w:rFonts w:cs="Arial"/>
              <w:sz w:val="22"/>
            </w:rPr>
            <w:fldChar w:fldCharType="begin"/>
          </w:r>
          <w:r>
            <w:rPr>
              <w:rFonts w:cs="Arial"/>
              <w:sz w:val="22"/>
            </w:rPr>
            <w:instrText xml:space="preserve"> PAGEREF _Toc201926341 \h </w:instrText>
          </w:r>
          <w:r>
            <w:rPr>
              <w:rFonts w:cs="Arial"/>
              <w:sz w:val="22"/>
            </w:rPr>
            <w:fldChar w:fldCharType="separate"/>
          </w:r>
          <w:r>
            <w:rPr>
              <w:rFonts w:cs="Arial"/>
              <w:sz w:val="22"/>
            </w:rPr>
            <w:t>78</w:t>
          </w:r>
          <w:r>
            <w:rPr>
              <w:rFonts w:cs="Arial"/>
              <w:sz w:val="22"/>
            </w:rPr>
            <w:fldChar w:fldCharType="end"/>
          </w:r>
          <w:r>
            <w:rPr>
              <w:rFonts w:cs="Arial"/>
              <w:sz w:val="22"/>
            </w:rPr>
            <w:fldChar w:fldCharType="end"/>
          </w:r>
        </w:p>
        <w:p w14:paraId="132FFFC3">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"_Toc201926342" </w:instrText>
          </w:r>
          <w:r>
            <w:fldChar w:fldCharType="separate"/>
          </w:r>
          <w:r>
            <w:rPr>
              <w:rStyle w:val="24"/>
              <w:rFonts w:cs="Arial"/>
              <w:sz w:val="22"/>
              <w:lang w:val="ro-RO"/>
            </w:rPr>
            <w:t>4.3.</w:t>
          </w:r>
          <w:r>
            <w:rPr>
              <w:rFonts w:cs="Arial" w:eastAsiaTheme="minorEastAsia"/>
              <w:kern w:val="2"/>
              <w:sz w:val="22"/>
              <w14:ligatures w14:val="standardContextual"/>
            </w:rPr>
            <w:tab/>
          </w:r>
          <w:r>
            <w:rPr>
              <w:rStyle w:val="24"/>
              <w:rFonts w:cs="Arial"/>
              <w:sz w:val="22"/>
              <w:lang w:val="ro-RO"/>
            </w:rPr>
            <w:t>Direcții strategice</w:t>
          </w:r>
          <w:r>
            <w:rPr>
              <w:rFonts w:cs="Arial"/>
              <w:sz w:val="22"/>
            </w:rPr>
            <w:tab/>
          </w:r>
          <w:r>
            <w:rPr>
              <w:rFonts w:cs="Arial"/>
              <w:sz w:val="22"/>
            </w:rPr>
            <w:fldChar w:fldCharType="begin"/>
          </w:r>
          <w:r>
            <w:rPr>
              <w:rFonts w:cs="Arial"/>
              <w:sz w:val="22"/>
            </w:rPr>
            <w:instrText xml:space="preserve"> PAGEREF _Toc201926342 \h </w:instrText>
          </w:r>
          <w:r>
            <w:rPr>
              <w:rFonts w:cs="Arial"/>
              <w:sz w:val="22"/>
            </w:rPr>
            <w:fldChar w:fldCharType="separate"/>
          </w:r>
          <w:r>
            <w:rPr>
              <w:rFonts w:cs="Arial"/>
              <w:sz w:val="22"/>
            </w:rPr>
            <w:t>78</w:t>
          </w:r>
          <w:r>
            <w:rPr>
              <w:rFonts w:cs="Arial"/>
              <w:sz w:val="22"/>
            </w:rPr>
            <w:fldChar w:fldCharType="end"/>
          </w:r>
          <w:r>
            <w:rPr>
              <w:rFonts w:cs="Arial"/>
              <w:sz w:val="22"/>
            </w:rPr>
            <w:fldChar w:fldCharType="end"/>
          </w:r>
        </w:p>
        <w:p w14:paraId="33739576">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"_Toc201926343" </w:instrText>
          </w:r>
          <w:r>
            <w:fldChar w:fldCharType="separate"/>
          </w:r>
          <w:r>
            <w:rPr>
              <w:rStyle w:val="24"/>
              <w:rFonts w:cs="Arial"/>
              <w:sz w:val="22"/>
              <w:lang w:val="ro-RO"/>
            </w:rPr>
            <w:t>4.4.</w:t>
          </w:r>
          <w:r>
            <w:rPr>
              <w:rFonts w:cs="Arial" w:eastAsiaTheme="minorEastAsia"/>
              <w:kern w:val="2"/>
              <w:sz w:val="22"/>
              <w14:ligatures w14:val="standardContextual"/>
            </w:rPr>
            <w:tab/>
          </w:r>
          <w:r>
            <w:rPr>
              <w:rStyle w:val="24"/>
              <w:rFonts w:cs="Arial"/>
              <w:sz w:val="22"/>
              <w:lang w:val="ro-RO"/>
            </w:rPr>
            <w:t>TEME ORIZONTALE</w:t>
          </w:r>
          <w:r>
            <w:rPr>
              <w:rFonts w:cs="Arial"/>
              <w:sz w:val="22"/>
            </w:rPr>
            <w:tab/>
          </w:r>
          <w:r>
            <w:rPr>
              <w:rFonts w:cs="Arial"/>
              <w:sz w:val="22"/>
            </w:rPr>
            <w:fldChar w:fldCharType="begin"/>
          </w:r>
          <w:r>
            <w:rPr>
              <w:rFonts w:cs="Arial"/>
              <w:sz w:val="22"/>
            </w:rPr>
            <w:instrText xml:space="preserve"> PAGEREF _Toc201926343 \h </w:instrText>
          </w:r>
          <w:r>
            <w:rPr>
              <w:rFonts w:cs="Arial"/>
              <w:sz w:val="22"/>
            </w:rPr>
            <w:fldChar w:fldCharType="separate"/>
          </w:r>
          <w:r>
            <w:rPr>
              <w:rFonts w:cs="Arial"/>
              <w:sz w:val="22"/>
            </w:rPr>
            <w:t>80</w:t>
          </w:r>
          <w:r>
            <w:rPr>
              <w:rFonts w:cs="Arial"/>
              <w:sz w:val="22"/>
            </w:rPr>
            <w:fldChar w:fldCharType="end"/>
          </w:r>
          <w:r>
            <w:rPr>
              <w:rFonts w:cs="Arial"/>
              <w:sz w:val="22"/>
            </w:rPr>
            <w:fldChar w:fldCharType="end"/>
          </w:r>
        </w:p>
        <w:p w14:paraId="74399D7D">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"_Toc201926344" </w:instrText>
          </w:r>
          <w:r>
            <w:fldChar w:fldCharType="separate"/>
          </w:r>
          <w:r>
            <w:rPr>
              <w:rStyle w:val="24"/>
              <w:rFonts w:cs="Arial"/>
              <w:sz w:val="22"/>
              <w:lang w:val="ro-RO"/>
            </w:rPr>
            <w:t>4.4.1.</w:t>
          </w:r>
          <w:r>
            <w:rPr>
              <w:rFonts w:cs="Arial" w:eastAsiaTheme="minorEastAsia"/>
              <w:kern w:val="2"/>
              <w:sz w:val="22"/>
              <w14:ligatures w14:val="standardContextual"/>
            </w:rPr>
            <w:tab/>
          </w:r>
          <w:r>
            <w:rPr>
              <w:rStyle w:val="24"/>
              <w:rFonts w:cs="Arial"/>
              <w:sz w:val="22"/>
              <w:lang w:val="ro-RO"/>
            </w:rPr>
            <w:t>Dezvoltare durabilă</w:t>
          </w:r>
          <w:r>
            <w:rPr>
              <w:rFonts w:cs="Arial"/>
              <w:sz w:val="22"/>
            </w:rPr>
            <w:tab/>
          </w:r>
          <w:r>
            <w:rPr>
              <w:rFonts w:cs="Arial"/>
              <w:sz w:val="22"/>
            </w:rPr>
            <w:fldChar w:fldCharType="begin"/>
          </w:r>
          <w:r>
            <w:rPr>
              <w:rFonts w:cs="Arial"/>
              <w:sz w:val="22"/>
            </w:rPr>
            <w:instrText xml:space="preserve"> PAGEREF _Toc201926344 \h </w:instrText>
          </w:r>
          <w:r>
            <w:rPr>
              <w:rFonts w:cs="Arial"/>
              <w:sz w:val="22"/>
            </w:rPr>
            <w:fldChar w:fldCharType="separate"/>
          </w:r>
          <w:r>
            <w:rPr>
              <w:rFonts w:cs="Arial"/>
              <w:sz w:val="22"/>
            </w:rPr>
            <w:t>81</w:t>
          </w:r>
          <w:r>
            <w:rPr>
              <w:rFonts w:cs="Arial"/>
              <w:sz w:val="22"/>
            </w:rPr>
            <w:fldChar w:fldCharType="end"/>
          </w:r>
          <w:r>
            <w:rPr>
              <w:rFonts w:cs="Arial"/>
              <w:sz w:val="22"/>
            </w:rPr>
            <w:fldChar w:fldCharType="end"/>
          </w:r>
        </w:p>
        <w:p w14:paraId="615BCB81">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"_Toc201926345" </w:instrText>
          </w:r>
          <w:r>
            <w:fldChar w:fldCharType="separate"/>
          </w:r>
          <w:r>
            <w:rPr>
              <w:rStyle w:val="24"/>
              <w:rFonts w:cs="Arial"/>
              <w:sz w:val="22"/>
              <w:lang w:val="ro-RO"/>
            </w:rPr>
            <w:t>4.5.</w:t>
          </w:r>
          <w:r>
            <w:rPr>
              <w:rFonts w:cs="Arial" w:eastAsiaTheme="minorEastAsia"/>
              <w:kern w:val="2"/>
              <w:sz w:val="22"/>
              <w14:ligatures w14:val="standardContextual"/>
            </w:rPr>
            <w:tab/>
          </w:r>
          <w:r>
            <w:rPr>
              <w:rStyle w:val="24"/>
              <w:rFonts w:cs="Arial"/>
              <w:sz w:val="22"/>
              <w:lang w:val="ro-RO"/>
            </w:rPr>
            <w:t>Direcții strategice</w:t>
          </w:r>
          <w:r>
            <w:rPr>
              <w:rFonts w:cs="Arial"/>
              <w:sz w:val="22"/>
            </w:rPr>
            <w:tab/>
          </w:r>
          <w:r>
            <w:rPr>
              <w:rFonts w:cs="Arial"/>
              <w:sz w:val="22"/>
            </w:rPr>
            <w:fldChar w:fldCharType="begin"/>
          </w:r>
          <w:r>
            <w:rPr>
              <w:rFonts w:cs="Arial"/>
              <w:sz w:val="22"/>
            </w:rPr>
            <w:instrText xml:space="preserve"> PAGEREF _Toc201926345 \h </w:instrText>
          </w:r>
          <w:r>
            <w:rPr>
              <w:rFonts w:cs="Arial"/>
              <w:sz w:val="22"/>
            </w:rPr>
            <w:fldChar w:fldCharType="separate"/>
          </w:r>
          <w:r>
            <w:rPr>
              <w:rFonts w:cs="Arial"/>
              <w:sz w:val="22"/>
            </w:rPr>
            <w:t>82</w:t>
          </w:r>
          <w:r>
            <w:rPr>
              <w:rFonts w:cs="Arial"/>
              <w:sz w:val="22"/>
            </w:rPr>
            <w:fldChar w:fldCharType="end"/>
          </w:r>
          <w:r>
            <w:rPr>
              <w:rFonts w:cs="Arial"/>
              <w:sz w:val="22"/>
            </w:rPr>
            <w:fldChar w:fldCharType="end"/>
          </w:r>
        </w:p>
        <w:p w14:paraId="199B00E3">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"_Toc201926346" </w:instrText>
          </w:r>
          <w:r>
            <w:fldChar w:fldCharType="separate"/>
          </w:r>
          <w:r>
            <w:rPr>
              <w:rStyle w:val="24"/>
              <w:rFonts w:cs="Arial"/>
              <w:sz w:val="22"/>
              <w:lang w:val="ro-RO"/>
            </w:rPr>
            <w:t>4.5.1.</w:t>
          </w:r>
          <w:r>
            <w:rPr>
              <w:rFonts w:cs="Arial" w:eastAsiaTheme="minorEastAsia"/>
              <w:kern w:val="2"/>
              <w:sz w:val="22"/>
              <w14:ligatures w14:val="standardContextual"/>
            </w:rPr>
            <w:tab/>
          </w:r>
          <w:r>
            <w:rPr>
              <w:rStyle w:val="24"/>
              <w:rFonts w:cs="Arial"/>
              <w:sz w:val="22"/>
              <w:lang w:val="ro-RO"/>
            </w:rPr>
            <w:t>DIRECȚIA STRATEGICĂ 1 - Modernizarea și extinderea infrastructurii de bază</w:t>
          </w:r>
          <w:r>
            <w:rPr>
              <w:rFonts w:cs="Arial"/>
              <w:sz w:val="22"/>
            </w:rPr>
            <w:tab/>
          </w:r>
          <w:r>
            <w:rPr>
              <w:rFonts w:cs="Arial"/>
              <w:sz w:val="22"/>
            </w:rPr>
            <w:fldChar w:fldCharType="begin"/>
          </w:r>
          <w:r>
            <w:rPr>
              <w:rFonts w:cs="Arial"/>
              <w:sz w:val="22"/>
            </w:rPr>
            <w:instrText xml:space="preserve"> PAGEREF _Toc201926346 \h </w:instrText>
          </w:r>
          <w:r>
            <w:rPr>
              <w:rFonts w:cs="Arial"/>
              <w:sz w:val="22"/>
            </w:rPr>
            <w:fldChar w:fldCharType="separate"/>
          </w:r>
          <w:r>
            <w:rPr>
              <w:rFonts w:cs="Arial"/>
              <w:sz w:val="22"/>
            </w:rPr>
            <w:t>82</w:t>
          </w:r>
          <w:r>
            <w:rPr>
              <w:rFonts w:cs="Arial"/>
              <w:sz w:val="22"/>
            </w:rPr>
            <w:fldChar w:fldCharType="end"/>
          </w:r>
          <w:r>
            <w:rPr>
              <w:rFonts w:cs="Arial"/>
              <w:sz w:val="22"/>
            </w:rPr>
            <w:fldChar w:fldCharType="end"/>
          </w:r>
        </w:p>
        <w:p w14:paraId="6A7DC2F4">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"_Toc201926347" </w:instrText>
          </w:r>
          <w:r>
            <w:fldChar w:fldCharType="separate"/>
          </w:r>
          <w:r>
            <w:rPr>
              <w:rStyle w:val="24"/>
              <w:rFonts w:cs="Arial"/>
              <w:sz w:val="22"/>
              <w:lang w:val="ro-RO"/>
            </w:rPr>
            <w:t>4.5.2.</w:t>
          </w:r>
          <w:r>
            <w:rPr>
              <w:rFonts w:cs="Arial" w:eastAsiaTheme="minorEastAsia"/>
              <w:kern w:val="2"/>
              <w:sz w:val="22"/>
              <w14:ligatures w14:val="standardContextual"/>
            </w:rPr>
            <w:tab/>
          </w:r>
          <w:r>
            <w:rPr>
              <w:rStyle w:val="24"/>
              <w:rFonts w:cs="Arial"/>
              <w:sz w:val="22"/>
              <w:lang w:val="ro-RO"/>
            </w:rPr>
            <w:t>DIRECȚIA STRATEGICĂ 2 - Dezvoltarea economică locală și diversificarea surselor de venit</w:t>
          </w:r>
          <w:r>
            <w:rPr>
              <w:rFonts w:cs="Arial"/>
              <w:sz w:val="22"/>
            </w:rPr>
            <w:tab/>
          </w:r>
          <w:r>
            <w:rPr>
              <w:rFonts w:cs="Arial"/>
              <w:sz w:val="22"/>
            </w:rPr>
            <w:fldChar w:fldCharType="begin"/>
          </w:r>
          <w:r>
            <w:rPr>
              <w:rFonts w:cs="Arial"/>
              <w:sz w:val="22"/>
            </w:rPr>
            <w:instrText xml:space="preserve"> PAGEREF _Toc201926347 \h </w:instrText>
          </w:r>
          <w:r>
            <w:rPr>
              <w:rFonts w:cs="Arial"/>
              <w:sz w:val="22"/>
            </w:rPr>
            <w:fldChar w:fldCharType="separate"/>
          </w:r>
          <w:r>
            <w:rPr>
              <w:rFonts w:cs="Arial"/>
              <w:sz w:val="22"/>
            </w:rPr>
            <w:t>82</w:t>
          </w:r>
          <w:r>
            <w:rPr>
              <w:rFonts w:cs="Arial"/>
              <w:sz w:val="22"/>
            </w:rPr>
            <w:fldChar w:fldCharType="end"/>
          </w:r>
          <w:r>
            <w:rPr>
              <w:rFonts w:cs="Arial"/>
              <w:sz w:val="22"/>
            </w:rPr>
            <w:fldChar w:fldCharType="end"/>
          </w:r>
        </w:p>
        <w:p w14:paraId="75ACF735">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"_Toc201926348" </w:instrText>
          </w:r>
          <w:r>
            <w:fldChar w:fldCharType="separate"/>
          </w:r>
          <w:r>
            <w:rPr>
              <w:rStyle w:val="24"/>
              <w:rFonts w:cs="Arial"/>
              <w:sz w:val="22"/>
              <w:lang w:val="ro-RO"/>
            </w:rPr>
            <w:t>4.5.3.</w:t>
          </w:r>
          <w:r>
            <w:rPr>
              <w:rFonts w:cs="Arial" w:eastAsiaTheme="minorEastAsia"/>
              <w:kern w:val="2"/>
              <w:sz w:val="22"/>
              <w14:ligatures w14:val="standardContextual"/>
            </w:rPr>
            <w:tab/>
          </w:r>
          <w:r>
            <w:rPr>
              <w:rStyle w:val="24"/>
              <w:rFonts w:cs="Arial"/>
              <w:sz w:val="22"/>
              <w:lang w:val="ro-RO"/>
            </w:rPr>
            <w:t>DIRECȚIA STRATEGICĂ 3 - Protecția mediului și tranziția către o economie verde</w:t>
          </w:r>
          <w:r>
            <w:rPr>
              <w:rFonts w:cs="Arial"/>
              <w:sz w:val="22"/>
            </w:rPr>
            <w:tab/>
          </w:r>
          <w:r>
            <w:rPr>
              <w:rFonts w:cs="Arial"/>
              <w:sz w:val="22"/>
            </w:rPr>
            <w:fldChar w:fldCharType="begin"/>
          </w:r>
          <w:r>
            <w:rPr>
              <w:rFonts w:cs="Arial"/>
              <w:sz w:val="22"/>
            </w:rPr>
            <w:instrText xml:space="preserve"> PAGEREF _Toc201926348 \h </w:instrText>
          </w:r>
          <w:r>
            <w:rPr>
              <w:rFonts w:cs="Arial"/>
              <w:sz w:val="22"/>
            </w:rPr>
            <w:fldChar w:fldCharType="separate"/>
          </w:r>
          <w:r>
            <w:rPr>
              <w:rFonts w:cs="Arial"/>
              <w:sz w:val="22"/>
            </w:rPr>
            <w:t>82</w:t>
          </w:r>
          <w:r>
            <w:rPr>
              <w:rFonts w:cs="Arial"/>
              <w:sz w:val="22"/>
            </w:rPr>
            <w:fldChar w:fldCharType="end"/>
          </w:r>
          <w:r>
            <w:rPr>
              <w:rFonts w:cs="Arial"/>
              <w:sz w:val="22"/>
            </w:rPr>
            <w:fldChar w:fldCharType="end"/>
          </w:r>
        </w:p>
        <w:p w14:paraId="0794B407">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"_Toc201926349" </w:instrText>
          </w:r>
          <w:r>
            <w:fldChar w:fldCharType="separate"/>
          </w:r>
          <w:r>
            <w:rPr>
              <w:rStyle w:val="24"/>
              <w:rFonts w:cs="Arial"/>
              <w:sz w:val="22"/>
              <w:lang w:val="ro-RO"/>
            </w:rPr>
            <w:t>4.5.4.</w:t>
          </w:r>
          <w:r>
            <w:rPr>
              <w:rFonts w:cs="Arial" w:eastAsiaTheme="minorEastAsia"/>
              <w:kern w:val="2"/>
              <w:sz w:val="22"/>
              <w14:ligatures w14:val="standardContextual"/>
            </w:rPr>
            <w:tab/>
          </w:r>
          <w:r>
            <w:rPr>
              <w:rStyle w:val="24"/>
              <w:rFonts w:cs="Arial"/>
              <w:sz w:val="22"/>
              <w:lang w:val="ro-RO"/>
            </w:rPr>
            <w:t>DIRECȚIA STRATEGICĂ 4 - Creșterea calității vieții și incluziunii sociale</w:t>
          </w:r>
          <w:r>
            <w:rPr>
              <w:rFonts w:cs="Arial"/>
              <w:sz w:val="22"/>
            </w:rPr>
            <w:tab/>
          </w:r>
          <w:r>
            <w:rPr>
              <w:rFonts w:cs="Arial"/>
              <w:sz w:val="22"/>
            </w:rPr>
            <w:fldChar w:fldCharType="begin"/>
          </w:r>
          <w:r>
            <w:rPr>
              <w:rFonts w:cs="Arial"/>
              <w:sz w:val="22"/>
            </w:rPr>
            <w:instrText xml:space="preserve"> PAGEREF _Toc201926349 \h </w:instrText>
          </w:r>
          <w:r>
            <w:rPr>
              <w:rFonts w:cs="Arial"/>
              <w:sz w:val="22"/>
            </w:rPr>
            <w:fldChar w:fldCharType="separate"/>
          </w:r>
          <w:r>
            <w:rPr>
              <w:rFonts w:cs="Arial"/>
              <w:sz w:val="22"/>
            </w:rPr>
            <w:t>82</w:t>
          </w:r>
          <w:r>
            <w:rPr>
              <w:rFonts w:cs="Arial"/>
              <w:sz w:val="22"/>
            </w:rPr>
            <w:fldChar w:fldCharType="end"/>
          </w:r>
          <w:r>
            <w:rPr>
              <w:rFonts w:cs="Arial"/>
              <w:sz w:val="22"/>
            </w:rPr>
            <w:fldChar w:fldCharType="end"/>
          </w:r>
        </w:p>
        <w:p w14:paraId="6ECB291C">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"_Toc201926350" </w:instrText>
          </w:r>
          <w:r>
            <w:fldChar w:fldCharType="separate"/>
          </w:r>
          <w:r>
            <w:rPr>
              <w:rStyle w:val="24"/>
              <w:rFonts w:cs="Arial"/>
              <w:sz w:val="22"/>
              <w:lang w:val="ro-RO"/>
            </w:rPr>
            <w:t>4.5.5.</w:t>
          </w:r>
          <w:r>
            <w:rPr>
              <w:rFonts w:cs="Arial" w:eastAsiaTheme="minorEastAsia"/>
              <w:kern w:val="2"/>
              <w:sz w:val="22"/>
              <w14:ligatures w14:val="standardContextual"/>
            </w:rPr>
            <w:tab/>
          </w:r>
          <w:r>
            <w:rPr>
              <w:rStyle w:val="24"/>
              <w:rFonts w:cs="Arial"/>
              <w:sz w:val="22"/>
              <w:lang w:val="ro-RO"/>
            </w:rPr>
            <w:t>DIRECȚIA STRATEGICĂ 5 - Guvernanță locală participativă și digitalizare</w:t>
          </w:r>
          <w:r>
            <w:rPr>
              <w:rFonts w:cs="Arial"/>
              <w:sz w:val="22"/>
            </w:rPr>
            <w:tab/>
          </w:r>
          <w:r>
            <w:rPr>
              <w:rFonts w:cs="Arial"/>
              <w:sz w:val="22"/>
            </w:rPr>
            <w:fldChar w:fldCharType="begin"/>
          </w:r>
          <w:r>
            <w:rPr>
              <w:rFonts w:cs="Arial"/>
              <w:sz w:val="22"/>
            </w:rPr>
            <w:instrText xml:space="preserve"> PAGEREF _Toc201926350 \h </w:instrText>
          </w:r>
          <w:r>
            <w:rPr>
              <w:rFonts w:cs="Arial"/>
              <w:sz w:val="22"/>
            </w:rPr>
            <w:fldChar w:fldCharType="separate"/>
          </w:r>
          <w:r>
            <w:rPr>
              <w:rFonts w:cs="Arial"/>
              <w:sz w:val="22"/>
            </w:rPr>
            <w:t>83</w:t>
          </w:r>
          <w:r>
            <w:rPr>
              <w:rFonts w:cs="Arial"/>
              <w:sz w:val="22"/>
            </w:rPr>
            <w:fldChar w:fldCharType="end"/>
          </w:r>
          <w:r>
            <w:rPr>
              <w:rFonts w:cs="Arial"/>
              <w:sz w:val="22"/>
            </w:rPr>
            <w:fldChar w:fldCharType="end"/>
          </w:r>
        </w:p>
        <w:p w14:paraId="02F51CB3">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"_Toc201926351" </w:instrText>
          </w:r>
          <w:r>
            <w:fldChar w:fldCharType="separate"/>
          </w:r>
          <w:r>
            <w:rPr>
              <w:rStyle w:val="24"/>
              <w:rFonts w:cs="Arial"/>
              <w:sz w:val="22"/>
              <w:lang w:val="ro-RO"/>
            </w:rPr>
            <w:t>4.6.</w:t>
          </w:r>
          <w:r>
            <w:rPr>
              <w:rFonts w:cs="Arial" w:eastAsiaTheme="minorEastAsia"/>
              <w:kern w:val="2"/>
              <w:sz w:val="22"/>
              <w14:ligatures w14:val="standardContextual"/>
            </w:rPr>
            <w:tab/>
          </w:r>
          <w:r>
            <w:rPr>
              <w:rStyle w:val="24"/>
              <w:rFonts w:cs="Arial"/>
              <w:sz w:val="22"/>
              <w:lang w:val="ro-RO"/>
            </w:rPr>
            <w:t>PORTOFOLIUL DE PROIECTE</w:t>
          </w:r>
          <w:r>
            <w:rPr>
              <w:rFonts w:cs="Arial"/>
              <w:sz w:val="22"/>
            </w:rPr>
            <w:tab/>
          </w:r>
          <w:r>
            <w:rPr>
              <w:rFonts w:cs="Arial"/>
              <w:sz w:val="22"/>
            </w:rPr>
            <w:fldChar w:fldCharType="begin"/>
          </w:r>
          <w:r>
            <w:rPr>
              <w:rFonts w:cs="Arial"/>
              <w:sz w:val="22"/>
            </w:rPr>
            <w:instrText xml:space="preserve"> PAGEREF _Toc201926351 \h </w:instrText>
          </w:r>
          <w:r>
            <w:rPr>
              <w:rFonts w:cs="Arial"/>
              <w:sz w:val="22"/>
            </w:rPr>
            <w:fldChar w:fldCharType="separate"/>
          </w:r>
          <w:r>
            <w:rPr>
              <w:rFonts w:cs="Arial"/>
              <w:sz w:val="22"/>
            </w:rPr>
            <w:t>84</w:t>
          </w:r>
          <w:r>
            <w:rPr>
              <w:rFonts w:cs="Arial"/>
              <w:sz w:val="22"/>
            </w:rPr>
            <w:fldChar w:fldCharType="end"/>
          </w:r>
          <w:r>
            <w:rPr>
              <w:rFonts w:cs="Arial"/>
              <w:sz w:val="22"/>
            </w:rPr>
            <w:fldChar w:fldCharType="end"/>
          </w:r>
        </w:p>
        <w:p w14:paraId="105AA65E">
          <w:pPr>
            <w:pStyle w:val="30"/>
            <w:tabs>
              <w:tab w:val="right" w:leader="dot" w:pos="9629"/>
            </w:tabs>
            <w:rPr>
              <w:rFonts w:cs="Arial" w:eastAsiaTheme="minorEastAsia"/>
              <w:kern w:val="2"/>
              <w:sz w:val="22"/>
              <w14:ligatures w14:val="standardContextual"/>
            </w:rPr>
          </w:pPr>
          <w:r>
            <w:fldChar w:fldCharType="begin"/>
          </w:r>
          <w:r>
            <w:instrText xml:space="preserve"> HYPERLINK \l "_Toc201926352" </w:instrText>
          </w:r>
          <w:r>
            <w:fldChar w:fldCharType="separate"/>
          </w:r>
          <w:r>
            <w:rPr>
              <w:rStyle w:val="24"/>
              <w:rFonts w:cs="Arial"/>
              <w:sz w:val="22"/>
              <w:lang w:val="ro-RO"/>
            </w:rPr>
            <w:t>DIRECȚIA STRATEGICĂ 1 - Modernizarea și extinderea infrastructurii de bază</w:t>
          </w:r>
          <w:r>
            <w:rPr>
              <w:rFonts w:cs="Arial"/>
              <w:sz w:val="22"/>
            </w:rPr>
            <w:tab/>
          </w:r>
          <w:r>
            <w:rPr>
              <w:rFonts w:cs="Arial"/>
              <w:sz w:val="22"/>
            </w:rPr>
            <w:fldChar w:fldCharType="begin"/>
          </w:r>
          <w:r>
            <w:rPr>
              <w:rFonts w:cs="Arial"/>
              <w:sz w:val="22"/>
            </w:rPr>
            <w:instrText xml:space="preserve"> PAGEREF _Toc201926352 \h </w:instrText>
          </w:r>
          <w:r>
            <w:rPr>
              <w:rFonts w:cs="Arial"/>
              <w:sz w:val="22"/>
            </w:rPr>
            <w:fldChar w:fldCharType="separate"/>
          </w:r>
          <w:r>
            <w:rPr>
              <w:rFonts w:cs="Arial"/>
              <w:sz w:val="22"/>
            </w:rPr>
            <w:t>84</w:t>
          </w:r>
          <w:r>
            <w:rPr>
              <w:rFonts w:cs="Arial"/>
              <w:sz w:val="22"/>
            </w:rPr>
            <w:fldChar w:fldCharType="end"/>
          </w:r>
          <w:r>
            <w:rPr>
              <w:rFonts w:cs="Arial"/>
              <w:sz w:val="22"/>
            </w:rPr>
            <w:fldChar w:fldCharType="end"/>
          </w:r>
        </w:p>
        <w:p w14:paraId="00AD257E">
          <w:pPr>
            <w:pStyle w:val="30"/>
            <w:tabs>
              <w:tab w:val="right" w:leader="dot" w:pos="9629"/>
            </w:tabs>
            <w:rPr>
              <w:rFonts w:cs="Arial" w:eastAsiaTheme="minorEastAsia"/>
              <w:kern w:val="2"/>
              <w:sz w:val="22"/>
              <w14:ligatures w14:val="standardContextual"/>
            </w:rPr>
          </w:pPr>
          <w:r>
            <w:fldChar w:fldCharType="begin"/>
          </w:r>
          <w:r>
            <w:instrText xml:space="preserve"> HYPERLINK \l "_Toc201926353" </w:instrText>
          </w:r>
          <w:r>
            <w:fldChar w:fldCharType="separate"/>
          </w:r>
          <w:r>
            <w:rPr>
              <w:rStyle w:val="24"/>
              <w:rFonts w:cs="Arial"/>
              <w:sz w:val="22"/>
              <w:lang w:val="ro-RO"/>
            </w:rPr>
            <w:t>DIRECȚIA STRATEGICĂ 2 - Dezvoltarea economică locală și diversificarea surselor de venit</w:t>
          </w:r>
          <w:r>
            <w:rPr>
              <w:rFonts w:cs="Arial"/>
              <w:sz w:val="22"/>
            </w:rPr>
            <w:tab/>
          </w:r>
          <w:r>
            <w:rPr>
              <w:rFonts w:cs="Arial"/>
              <w:sz w:val="22"/>
            </w:rPr>
            <w:fldChar w:fldCharType="begin"/>
          </w:r>
          <w:r>
            <w:rPr>
              <w:rFonts w:cs="Arial"/>
              <w:sz w:val="22"/>
            </w:rPr>
            <w:instrText xml:space="preserve"> PAGEREF _Toc201926353 \h </w:instrText>
          </w:r>
          <w:r>
            <w:rPr>
              <w:rFonts w:cs="Arial"/>
              <w:sz w:val="22"/>
            </w:rPr>
            <w:fldChar w:fldCharType="separate"/>
          </w:r>
          <w:r>
            <w:rPr>
              <w:rFonts w:cs="Arial"/>
              <w:sz w:val="22"/>
            </w:rPr>
            <w:t>89</w:t>
          </w:r>
          <w:r>
            <w:rPr>
              <w:rFonts w:cs="Arial"/>
              <w:sz w:val="22"/>
            </w:rPr>
            <w:fldChar w:fldCharType="end"/>
          </w:r>
          <w:r>
            <w:rPr>
              <w:rFonts w:cs="Arial"/>
              <w:sz w:val="22"/>
            </w:rPr>
            <w:fldChar w:fldCharType="end"/>
          </w:r>
        </w:p>
        <w:p w14:paraId="0D8405E1">
          <w:pPr>
            <w:pStyle w:val="30"/>
            <w:tabs>
              <w:tab w:val="right" w:leader="dot" w:pos="9629"/>
            </w:tabs>
            <w:rPr>
              <w:rFonts w:cs="Arial" w:eastAsiaTheme="minorEastAsia"/>
              <w:kern w:val="2"/>
              <w:sz w:val="22"/>
              <w14:ligatures w14:val="standardContextual"/>
            </w:rPr>
          </w:pPr>
          <w:r>
            <w:fldChar w:fldCharType="begin"/>
          </w:r>
          <w:r>
            <w:instrText xml:space="preserve"> HYPERLINK \l "_Toc201926354" </w:instrText>
          </w:r>
          <w:r>
            <w:fldChar w:fldCharType="separate"/>
          </w:r>
          <w:r>
            <w:rPr>
              <w:rStyle w:val="24"/>
              <w:rFonts w:cs="Arial"/>
              <w:sz w:val="22"/>
              <w:lang w:val="ro-RO"/>
            </w:rPr>
            <w:t>DIRECȚIA STRATEGICĂ 3 - Protecția mediului și tranziția către o economie verde</w:t>
          </w:r>
          <w:r>
            <w:rPr>
              <w:rFonts w:cs="Arial"/>
              <w:sz w:val="22"/>
            </w:rPr>
            <w:tab/>
          </w:r>
          <w:r>
            <w:rPr>
              <w:rFonts w:cs="Arial"/>
              <w:sz w:val="22"/>
            </w:rPr>
            <w:fldChar w:fldCharType="begin"/>
          </w:r>
          <w:r>
            <w:rPr>
              <w:rFonts w:cs="Arial"/>
              <w:sz w:val="22"/>
            </w:rPr>
            <w:instrText xml:space="preserve"> PAGEREF _Toc201926354 \h </w:instrText>
          </w:r>
          <w:r>
            <w:rPr>
              <w:rFonts w:cs="Arial"/>
              <w:sz w:val="22"/>
            </w:rPr>
            <w:fldChar w:fldCharType="separate"/>
          </w:r>
          <w:r>
            <w:rPr>
              <w:rFonts w:cs="Arial"/>
              <w:sz w:val="22"/>
            </w:rPr>
            <w:t>91</w:t>
          </w:r>
          <w:r>
            <w:rPr>
              <w:rFonts w:cs="Arial"/>
              <w:sz w:val="22"/>
            </w:rPr>
            <w:fldChar w:fldCharType="end"/>
          </w:r>
          <w:r>
            <w:rPr>
              <w:rFonts w:cs="Arial"/>
              <w:sz w:val="22"/>
            </w:rPr>
            <w:fldChar w:fldCharType="end"/>
          </w:r>
        </w:p>
        <w:p w14:paraId="1CE23792">
          <w:pPr>
            <w:pStyle w:val="30"/>
            <w:tabs>
              <w:tab w:val="right" w:leader="dot" w:pos="9629"/>
            </w:tabs>
            <w:rPr>
              <w:rFonts w:cs="Arial" w:eastAsiaTheme="minorEastAsia"/>
              <w:kern w:val="2"/>
              <w:sz w:val="22"/>
              <w14:ligatures w14:val="standardContextual"/>
            </w:rPr>
          </w:pPr>
          <w:r>
            <w:fldChar w:fldCharType="begin"/>
          </w:r>
          <w:r>
            <w:instrText xml:space="preserve"> HYPERLINK \l "_Toc201926355" </w:instrText>
          </w:r>
          <w:r>
            <w:fldChar w:fldCharType="separate"/>
          </w:r>
          <w:r>
            <w:rPr>
              <w:rStyle w:val="24"/>
              <w:rFonts w:cs="Arial"/>
              <w:sz w:val="22"/>
              <w:lang w:val="ro-RO"/>
            </w:rPr>
            <w:t>DIRECȚIA STRATEGICĂ 4 - Creșterea calității vieții și incluziunii sociale</w:t>
          </w:r>
          <w:r>
            <w:rPr>
              <w:rFonts w:cs="Arial"/>
              <w:sz w:val="22"/>
            </w:rPr>
            <w:tab/>
          </w:r>
          <w:r>
            <w:rPr>
              <w:rFonts w:cs="Arial"/>
              <w:sz w:val="22"/>
            </w:rPr>
            <w:fldChar w:fldCharType="begin"/>
          </w:r>
          <w:r>
            <w:rPr>
              <w:rFonts w:cs="Arial"/>
              <w:sz w:val="22"/>
            </w:rPr>
            <w:instrText xml:space="preserve"> PAGEREF _Toc201926355 \h </w:instrText>
          </w:r>
          <w:r>
            <w:rPr>
              <w:rFonts w:cs="Arial"/>
              <w:sz w:val="22"/>
            </w:rPr>
            <w:fldChar w:fldCharType="separate"/>
          </w:r>
          <w:r>
            <w:rPr>
              <w:rFonts w:cs="Arial"/>
              <w:sz w:val="22"/>
            </w:rPr>
            <w:t>95</w:t>
          </w:r>
          <w:r>
            <w:rPr>
              <w:rFonts w:cs="Arial"/>
              <w:sz w:val="22"/>
            </w:rPr>
            <w:fldChar w:fldCharType="end"/>
          </w:r>
          <w:r>
            <w:rPr>
              <w:rFonts w:cs="Arial"/>
              <w:sz w:val="22"/>
            </w:rPr>
            <w:fldChar w:fldCharType="end"/>
          </w:r>
        </w:p>
        <w:p w14:paraId="2D7AAF2C">
          <w:pPr>
            <w:pStyle w:val="30"/>
            <w:tabs>
              <w:tab w:val="right" w:leader="dot" w:pos="9629"/>
            </w:tabs>
            <w:rPr>
              <w:rFonts w:cs="Arial" w:eastAsiaTheme="minorEastAsia"/>
              <w:kern w:val="2"/>
              <w:sz w:val="22"/>
              <w14:ligatures w14:val="standardContextual"/>
            </w:rPr>
          </w:pPr>
          <w:r>
            <w:fldChar w:fldCharType="begin"/>
          </w:r>
          <w:r>
            <w:instrText xml:space="preserve"> HYPERLINK \l "_Toc201926356" </w:instrText>
          </w:r>
          <w:r>
            <w:fldChar w:fldCharType="separate"/>
          </w:r>
          <w:r>
            <w:rPr>
              <w:rStyle w:val="24"/>
              <w:rFonts w:cs="Arial"/>
              <w:sz w:val="22"/>
              <w:lang w:val="ro-RO"/>
            </w:rPr>
            <w:t>DIRECȚIA STRATEGICĂ 5 - Guvernanță locală participativă și digitalizare</w:t>
          </w:r>
          <w:r>
            <w:rPr>
              <w:rFonts w:cs="Arial"/>
              <w:sz w:val="22"/>
            </w:rPr>
            <w:tab/>
          </w:r>
          <w:r>
            <w:rPr>
              <w:rFonts w:cs="Arial"/>
              <w:sz w:val="22"/>
            </w:rPr>
            <w:fldChar w:fldCharType="begin"/>
          </w:r>
          <w:r>
            <w:rPr>
              <w:rFonts w:cs="Arial"/>
              <w:sz w:val="22"/>
            </w:rPr>
            <w:instrText xml:space="preserve"> PAGEREF _Toc201926356 \h </w:instrText>
          </w:r>
          <w:r>
            <w:rPr>
              <w:rFonts w:cs="Arial"/>
              <w:sz w:val="22"/>
            </w:rPr>
            <w:fldChar w:fldCharType="separate"/>
          </w:r>
          <w:r>
            <w:rPr>
              <w:rFonts w:cs="Arial"/>
              <w:sz w:val="22"/>
            </w:rPr>
            <w:t>101</w:t>
          </w:r>
          <w:r>
            <w:rPr>
              <w:rFonts w:cs="Arial"/>
              <w:sz w:val="22"/>
            </w:rPr>
            <w:fldChar w:fldCharType="end"/>
          </w:r>
          <w:r>
            <w:rPr>
              <w:rFonts w:cs="Arial"/>
              <w:sz w:val="22"/>
            </w:rPr>
            <w:fldChar w:fldCharType="end"/>
          </w:r>
        </w:p>
        <w:p w14:paraId="569F05FC">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"_Toc201926357" </w:instrText>
          </w:r>
          <w:r>
            <w:fldChar w:fldCharType="separate"/>
          </w:r>
          <w:r>
            <w:rPr>
              <w:rStyle w:val="24"/>
              <w:rFonts w:cs="Arial"/>
              <w:sz w:val="22"/>
              <w:lang w:val="ro-RO"/>
            </w:rPr>
            <w:t>4.8.</w:t>
          </w:r>
          <w:r>
            <w:rPr>
              <w:rFonts w:cs="Arial" w:eastAsiaTheme="minorEastAsia"/>
              <w:kern w:val="2"/>
              <w:sz w:val="22"/>
              <w14:ligatures w14:val="standardContextual"/>
            </w:rPr>
            <w:tab/>
          </w:r>
          <w:r>
            <w:rPr>
              <w:rStyle w:val="24"/>
              <w:rFonts w:cs="Arial"/>
              <w:sz w:val="22"/>
              <w:lang w:val="ro-RO"/>
            </w:rPr>
            <w:t>POLITICA DE COEZIUNE</w:t>
          </w:r>
          <w:r>
            <w:rPr>
              <w:rFonts w:cs="Arial"/>
              <w:sz w:val="22"/>
            </w:rPr>
            <w:tab/>
          </w:r>
          <w:r>
            <w:rPr>
              <w:rFonts w:cs="Arial"/>
              <w:sz w:val="22"/>
            </w:rPr>
            <w:fldChar w:fldCharType="begin"/>
          </w:r>
          <w:r>
            <w:rPr>
              <w:rFonts w:cs="Arial"/>
              <w:sz w:val="22"/>
            </w:rPr>
            <w:instrText xml:space="preserve"> PAGEREF _Toc201926357 \h </w:instrText>
          </w:r>
          <w:r>
            <w:rPr>
              <w:rFonts w:cs="Arial"/>
              <w:sz w:val="22"/>
            </w:rPr>
            <w:fldChar w:fldCharType="separate"/>
          </w:r>
          <w:r>
            <w:rPr>
              <w:rFonts w:cs="Arial"/>
              <w:sz w:val="22"/>
            </w:rPr>
            <w:t>106</w:t>
          </w:r>
          <w:r>
            <w:rPr>
              <w:rFonts w:cs="Arial"/>
              <w:sz w:val="22"/>
            </w:rPr>
            <w:fldChar w:fldCharType="end"/>
          </w:r>
          <w:r>
            <w:rPr>
              <w:rFonts w:cs="Arial"/>
              <w:sz w:val="22"/>
            </w:rPr>
            <w:fldChar w:fldCharType="end"/>
          </w:r>
        </w:p>
        <w:p w14:paraId="2DB57252">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"_Toc201926358" </w:instrText>
          </w:r>
          <w:r>
            <w:fldChar w:fldCharType="separate"/>
          </w:r>
          <w:r>
            <w:rPr>
              <w:rStyle w:val="24"/>
              <w:rFonts w:cs="Arial"/>
              <w:sz w:val="22"/>
              <w:lang w:val="ro-RO"/>
            </w:rPr>
            <w:t>5.8.</w:t>
          </w:r>
          <w:r>
            <w:rPr>
              <w:rFonts w:cs="Arial" w:eastAsiaTheme="minorEastAsia"/>
              <w:kern w:val="2"/>
              <w:sz w:val="22"/>
              <w14:ligatures w14:val="standardContextual"/>
            </w:rPr>
            <w:tab/>
          </w:r>
          <w:r>
            <w:rPr>
              <w:rStyle w:val="24"/>
              <w:rFonts w:cs="Arial"/>
              <w:sz w:val="22"/>
              <w:lang w:val="ro-RO"/>
            </w:rPr>
            <w:t>POLITICA AGRICOLĂ COMUNĂ</w:t>
          </w:r>
          <w:r>
            <w:rPr>
              <w:rFonts w:cs="Arial"/>
              <w:sz w:val="22"/>
            </w:rPr>
            <w:tab/>
          </w:r>
          <w:r>
            <w:rPr>
              <w:rFonts w:cs="Arial"/>
              <w:sz w:val="22"/>
            </w:rPr>
            <w:fldChar w:fldCharType="begin"/>
          </w:r>
          <w:r>
            <w:rPr>
              <w:rFonts w:cs="Arial"/>
              <w:sz w:val="22"/>
            </w:rPr>
            <w:instrText xml:space="preserve"> PAGEREF _Toc201926358 \h </w:instrText>
          </w:r>
          <w:r>
            <w:rPr>
              <w:rFonts w:cs="Arial"/>
              <w:sz w:val="22"/>
            </w:rPr>
            <w:fldChar w:fldCharType="separate"/>
          </w:r>
          <w:r>
            <w:rPr>
              <w:rFonts w:cs="Arial"/>
              <w:sz w:val="22"/>
            </w:rPr>
            <w:t>108</w:t>
          </w:r>
          <w:r>
            <w:rPr>
              <w:rFonts w:cs="Arial"/>
              <w:sz w:val="22"/>
            </w:rPr>
            <w:fldChar w:fldCharType="end"/>
          </w:r>
          <w:r>
            <w:rPr>
              <w:rFonts w:cs="Arial"/>
              <w:sz w:val="22"/>
            </w:rPr>
            <w:fldChar w:fldCharType="end"/>
          </w:r>
        </w:p>
        <w:p w14:paraId="24EF86E3">
          <w:pPr>
            <w:pStyle w:val="29"/>
            <w:tabs>
              <w:tab w:val="left" w:pos="1540"/>
              <w:tab w:val="right" w:leader="dot" w:pos="9629"/>
            </w:tabs>
            <w:rPr>
              <w:rFonts w:cs="Arial" w:eastAsiaTheme="minorEastAsia"/>
              <w:kern w:val="2"/>
              <w:sz w:val="22"/>
              <w14:ligatures w14:val="standardContextual"/>
            </w:rPr>
          </w:pPr>
          <w:r>
            <w:fldChar w:fldCharType="begin"/>
          </w:r>
          <w:r>
            <w:instrText xml:space="preserve"> HYPERLINK \l "_Toc201926359" </w:instrText>
          </w:r>
          <w:r>
            <w:fldChar w:fldCharType="separate"/>
          </w:r>
          <w:r>
            <w:rPr>
              <w:rStyle w:val="24"/>
              <w:rFonts w:cs="Arial"/>
              <w:sz w:val="22"/>
              <w:lang w:val="ro-RO"/>
            </w:rPr>
            <w:t>5.9.</w:t>
          </w:r>
          <w:r>
            <w:rPr>
              <w:rFonts w:cs="Arial" w:eastAsiaTheme="minorEastAsia"/>
              <w:kern w:val="2"/>
              <w:sz w:val="22"/>
              <w14:ligatures w14:val="standardContextual"/>
            </w:rPr>
            <w:tab/>
          </w:r>
          <w:r>
            <w:rPr>
              <w:rStyle w:val="24"/>
              <w:rFonts w:cs="Arial"/>
              <w:sz w:val="22"/>
              <w:lang w:val="ro-RO"/>
            </w:rPr>
            <w:t>IMPLEMENTAREA, MONITORIZAREA ȘI EVALUAREA STRATEGIEI DE DEZVOLTARE LOCALĂ</w:t>
          </w:r>
          <w:r>
            <w:rPr>
              <w:rFonts w:cs="Arial"/>
              <w:sz w:val="22"/>
            </w:rPr>
            <w:tab/>
          </w:r>
          <w:r>
            <w:rPr>
              <w:rFonts w:cs="Arial"/>
              <w:sz w:val="22"/>
            </w:rPr>
            <w:fldChar w:fldCharType="begin"/>
          </w:r>
          <w:r>
            <w:rPr>
              <w:rFonts w:cs="Arial"/>
              <w:sz w:val="22"/>
            </w:rPr>
            <w:instrText xml:space="preserve"> PAGEREF _Toc201926359 \h </w:instrText>
          </w:r>
          <w:r>
            <w:rPr>
              <w:rFonts w:cs="Arial"/>
              <w:sz w:val="22"/>
            </w:rPr>
            <w:fldChar w:fldCharType="separate"/>
          </w:r>
          <w:r>
            <w:rPr>
              <w:rFonts w:cs="Arial"/>
              <w:sz w:val="22"/>
            </w:rPr>
            <w:t>108</w:t>
          </w:r>
          <w:r>
            <w:rPr>
              <w:rFonts w:cs="Arial"/>
              <w:sz w:val="22"/>
            </w:rPr>
            <w:fldChar w:fldCharType="end"/>
          </w:r>
          <w:r>
            <w:rPr>
              <w:rFonts w:cs="Arial"/>
              <w:sz w:val="22"/>
            </w:rPr>
            <w:fldChar w:fldCharType="end"/>
          </w:r>
        </w:p>
        <w:p w14:paraId="141676CD">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"_Toc201926360" </w:instrText>
          </w:r>
          <w:r>
            <w:fldChar w:fldCharType="separate"/>
          </w:r>
          <w:r>
            <w:rPr>
              <w:rStyle w:val="24"/>
              <w:rFonts w:cs="Arial"/>
              <w:sz w:val="22"/>
              <w:lang w:val="ro-RO"/>
            </w:rPr>
            <w:t>5.9.1.</w:t>
          </w:r>
          <w:r>
            <w:rPr>
              <w:rFonts w:cs="Arial" w:eastAsiaTheme="minorEastAsia"/>
              <w:kern w:val="2"/>
              <w:sz w:val="22"/>
              <w14:ligatures w14:val="standardContextual"/>
            </w:rPr>
            <w:tab/>
          </w:r>
          <w:r>
            <w:rPr>
              <w:rStyle w:val="24"/>
              <w:rFonts w:cs="Arial"/>
              <w:sz w:val="22"/>
              <w:lang w:val="ro-RO"/>
            </w:rPr>
            <w:t>Mecanismul de guvernanță pentru implementarea, monitorizarea și evaluarea strategiei</w:t>
          </w:r>
          <w:r>
            <w:rPr>
              <w:rFonts w:cs="Arial"/>
              <w:sz w:val="22"/>
            </w:rPr>
            <w:tab/>
          </w:r>
          <w:r>
            <w:rPr>
              <w:rFonts w:cs="Arial"/>
              <w:sz w:val="22"/>
            </w:rPr>
            <w:fldChar w:fldCharType="begin"/>
          </w:r>
          <w:r>
            <w:rPr>
              <w:rFonts w:cs="Arial"/>
              <w:sz w:val="22"/>
            </w:rPr>
            <w:instrText xml:space="preserve"> PAGEREF _Toc201926360 \h </w:instrText>
          </w:r>
          <w:r>
            <w:rPr>
              <w:rFonts w:cs="Arial"/>
              <w:sz w:val="22"/>
            </w:rPr>
            <w:fldChar w:fldCharType="separate"/>
          </w:r>
          <w:r>
            <w:rPr>
              <w:rFonts w:cs="Arial"/>
              <w:sz w:val="22"/>
            </w:rPr>
            <w:t>108</w:t>
          </w:r>
          <w:r>
            <w:rPr>
              <w:rFonts w:cs="Arial"/>
              <w:sz w:val="22"/>
            </w:rPr>
            <w:fldChar w:fldCharType="end"/>
          </w:r>
          <w:r>
            <w:rPr>
              <w:rFonts w:cs="Arial"/>
              <w:sz w:val="22"/>
            </w:rPr>
            <w:fldChar w:fldCharType="end"/>
          </w:r>
        </w:p>
        <w:p w14:paraId="3CD86320">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"_Toc201926361" </w:instrText>
          </w:r>
          <w:r>
            <w:fldChar w:fldCharType="separate"/>
          </w:r>
          <w:r>
            <w:rPr>
              <w:rStyle w:val="24"/>
              <w:rFonts w:cs="Arial"/>
              <w:sz w:val="22"/>
              <w:lang w:val="ro-RO"/>
            </w:rPr>
            <w:t>5.9.2.</w:t>
          </w:r>
          <w:r>
            <w:rPr>
              <w:rFonts w:cs="Arial" w:eastAsiaTheme="minorEastAsia"/>
              <w:kern w:val="2"/>
              <w:sz w:val="22"/>
              <w14:ligatures w14:val="standardContextual"/>
            </w:rPr>
            <w:tab/>
          </w:r>
          <w:r>
            <w:rPr>
              <w:rStyle w:val="24"/>
              <w:rFonts w:cs="Arial"/>
              <w:sz w:val="22"/>
              <w:lang w:val="ro-RO"/>
            </w:rPr>
            <w:t>Implementarea Strategiei de Dezvoltare Locală</w:t>
          </w:r>
          <w:r>
            <w:rPr>
              <w:rFonts w:cs="Arial"/>
              <w:sz w:val="22"/>
            </w:rPr>
            <w:tab/>
          </w:r>
          <w:r>
            <w:rPr>
              <w:rFonts w:cs="Arial"/>
              <w:sz w:val="22"/>
            </w:rPr>
            <w:fldChar w:fldCharType="begin"/>
          </w:r>
          <w:r>
            <w:rPr>
              <w:rFonts w:cs="Arial"/>
              <w:sz w:val="22"/>
            </w:rPr>
            <w:instrText xml:space="preserve"> PAGEREF _Toc201926361 \h </w:instrText>
          </w:r>
          <w:r>
            <w:rPr>
              <w:rFonts w:cs="Arial"/>
              <w:sz w:val="22"/>
            </w:rPr>
            <w:fldChar w:fldCharType="separate"/>
          </w:r>
          <w:r>
            <w:rPr>
              <w:rFonts w:cs="Arial"/>
              <w:sz w:val="22"/>
            </w:rPr>
            <w:t>111</w:t>
          </w:r>
          <w:r>
            <w:rPr>
              <w:rFonts w:cs="Arial"/>
              <w:sz w:val="22"/>
            </w:rPr>
            <w:fldChar w:fldCharType="end"/>
          </w:r>
          <w:r>
            <w:rPr>
              <w:rFonts w:cs="Arial"/>
              <w:sz w:val="22"/>
            </w:rPr>
            <w:fldChar w:fldCharType="end"/>
          </w:r>
        </w:p>
        <w:p w14:paraId="545F957F">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"_Toc201926362" </w:instrText>
          </w:r>
          <w:r>
            <w:fldChar w:fldCharType="separate"/>
          </w:r>
          <w:r>
            <w:rPr>
              <w:rStyle w:val="24"/>
              <w:rFonts w:cs="Arial"/>
              <w:sz w:val="22"/>
              <w:lang w:val="ro-RO"/>
            </w:rPr>
            <w:t>5.9.3.</w:t>
          </w:r>
          <w:r>
            <w:rPr>
              <w:rFonts w:cs="Arial" w:eastAsiaTheme="minorEastAsia"/>
              <w:kern w:val="2"/>
              <w:sz w:val="22"/>
              <w14:ligatures w14:val="standardContextual"/>
            </w:rPr>
            <w:tab/>
          </w:r>
          <w:r>
            <w:rPr>
              <w:rStyle w:val="24"/>
              <w:rFonts w:cs="Arial"/>
              <w:sz w:val="22"/>
              <w:lang w:val="ro-RO"/>
            </w:rPr>
            <w:t>Monitorizarea Strategiei de Dezvoltare Locală</w:t>
          </w:r>
          <w:r>
            <w:rPr>
              <w:rFonts w:cs="Arial"/>
              <w:sz w:val="22"/>
            </w:rPr>
            <w:tab/>
          </w:r>
          <w:r>
            <w:rPr>
              <w:rFonts w:cs="Arial"/>
              <w:sz w:val="22"/>
            </w:rPr>
            <w:fldChar w:fldCharType="begin"/>
          </w:r>
          <w:r>
            <w:rPr>
              <w:rFonts w:cs="Arial"/>
              <w:sz w:val="22"/>
            </w:rPr>
            <w:instrText xml:space="preserve"> PAGEREF _Toc201926362 \h </w:instrText>
          </w:r>
          <w:r>
            <w:rPr>
              <w:rFonts w:cs="Arial"/>
              <w:sz w:val="22"/>
            </w:rPr>
            <w:fldChar w:fldCharType="separate"/>
          </w:r>
          <w:r>
            <w:rPr>
              <w:rFonts w:cs="Arial"/>
              <w:sz w:val="22"/>
            </w:rPr>
            <w:t>111</w:t>
          </w:r>
          <w:r>
            <w:rPr>
              <w:rFonts w:cs="Arial"/>
              <w:sz w:val="22"/>
            </w:rPr>
            <w:fldChar w:fldCharType="end"/>
          </w:r>
          <w:r>
            <w:rPr>
              <w:rFonts w:cs="Arial"/>
              <w:sz w:val="22"/>
            </w:rPr>
            <w:fldChar w:fldCharType="end"/>
          </w:r>
        </w:p>
        <w:p w14:paraId="71F6FEED">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"_Toc201926363" </w:instrText>
          </w:r>
          <w:r>
            <w:fldChar w:fldCharType="separate"/>
          </w:r>
          <w:r>
            <w:rPr>
              <w:rStyle w:val="24"/>
              <w:rFonts w:cs="Arial"/>
              <w:sz w:val="22"/>
              <w:lang w:val="ro-RO"/>
            </w:rPr>
            <w:t>5.9.4.</w:t>
          </w:r>
          <w:r>
            <w:rPr>
              <w:rFonts w:cs="Arial" w:eastAsiaTheme="minorEastAsia"/>
              <w:kern w:val="2"/>
              <w:sz w:val="22"/>
              <w14:ligatures w14:val="standardContextual"/>
            </w:rPr>
            <w:tab/>
          </w:r>
          <w:r>
            <w:rPr>
              <w:rStyle w:val="24"/>
              <w:rFonts w:cs="Arial"/>
              <w:sz w:val="22"/>
              <w:lang w:val="ro-RO"/>
            </w:rPr>
            <w:t>Evaluarea strategiei și analiza impactului</w:t>
          </w:r>
          <w:r>
            <w:rPr>
              <w:rFonts w:cs="Arial"/>
              <w:sz w:val="22"/>
            </w:rPr>
            <w:tab/>
          </w:r>
          <w:r>
            <w:rPr>
              <w:rFonts w:cs="Arial"/>
              <w:sz w:val="22"/>
            </w:rPr>
            <w:fldChar w:fldCharType="begin"/>
          </w:r>
          <w:r>
            <w:rPr>
              <w:rFonts w:cs="Arial"/>
              <w:sz w:val="22"/>
            </w:rPr>
            <w:instrText xml:space="preserve"> PAGEREF _Toc201926363 \h </w:instrText>
          </w:r>
          <w:r>
            <w:rPr>
              <w:rFonts w:cs="Arial"/>
              <w:sz w:val="22"/>
            </w:rPr>
            <w:fldChar w:fldCharType="separate"/>
          </w:r>
          <w:r>
            <w:rPr>
              <w:rFonts w:cs="Arial"/>
              <w:sz w:val="22"/>
            </w:rPr>
            <w:t>112</w:t>
          </w:r>
          <w:r>
            <w:rPr>
              <w:rFonts w:cs="Arial"/>
              <w:sz w:val="22"/>
            </w:rPr>
            <w:fldChar w:fldCharType="end"/>
          </w:r>
          <w:r>
            <w:rPr>
              <w:rFonts w:cs="Arial"/>
              <w:sz w:val="22"/>
            </w:rPr>
            <w:fldChar w:fldCharType="end"/>
          </w:r>
        </w:p>
        <w:p w14:paraId="2B9EC97A">
          <w:pPr>
            <w:pStyle w:val="30"/>
            <w:tabs>
              <w:tab w:val="right" w:leader="dot" w:pos="9629"/>
            </w:tabs>
            <w:rPr>
              <w:rFonts w:cs="Arial" w:eastAsiaTheme="minorEastAsia"/>
              <w:kern w:val="2"/>
              <w:sz w:val="22"/>
              <w14:ligatures w14:val="standardContextual"/>
            </w:rPr>
          </w:pPr>
          <w:r>
            <w:fldChar w:fldCharType="begin"/>
          </w:r>
          <w:r>
            <w:instrText xml:space="preserve"> HYPERLINK \l "_Toc201926364" </w:instrText>
          </w:r>
          <w:r>
            <w:fldChar w:fldCharType="separate"/>
          </w:r>
          <w:r>
            <w:rPr>
              <w:rStyle w:val="24"/>
              <w:rFonts w:cs="Arial"/>
              <w:sz w:val="22"/>
              <w:lang w:val="ro-RO"/>
            </w:rPr>
            <w:t>Evaluarea presupune analizarea activităților și a rezultatelor obținute în urma implementării Strategiei, utilizând datele colectate în etapa de monitorizare. Aceasta urmărește să determine modul în care Strategia a fost pusă în aplicare și gradul de eficiență al acesteia.</w:t>
          </w:r>
          <w:r>
            <w:rPr>
              <w:rFonts w:cs="Arial"/>
              <w:sz w:val="22"/>
            </w:rPr>
            <w:tab/>
          </w:r>
          <w:r>
            <w:rPr>
              <w:rFonts w:cs="Arial"/>
              <w:sz w:val="22"/>
            </w:rPr>
            <w:fldChar w:fldCharType="begin"/>
          </w:r>
          <w:r>
            <w:rPr>
              <w:rFonts w:cs="Arial"/>
              <w:sz w:val="22"/>
            </w:rPr>
            <w:instrText xml:space="preserve"> PAGEREF _Toc201926364 \h </w:instrText>
          </w:r>
          <w:r>
            <w:rPr>
              <w:rFonts w:cs="Arial"/>
              <w:sz w:val="22"/>
            </w:rPr>
            <w:fldChar w:fldCharType="separate"/>
          </w:r>
          <w:r>
            <w:rPr>
              <w:rFonts w:cs="Arial"/>
              <w:sz w:val="22"/>
            </w:rPr>
            <w:t>112</w:t>
          </w:r>
          <w:r>
            <w:rPr>
              <w:rFonts w:cs="Arial"/>
              <w:sz w:val="22"/>
            </w:rPr>
            <w:fldChar w:fldCharType="end"/>
          </w:r>
          <w:r>
            <w:rPr>
              <w:rFonts w:cs="Arial"/>
              <w:sz w:val="22"/>
            </w:rPr>
            <w:fldChar w:fldCharType="end"/>
          </w:r>
        </w:p>
        <w:p w14:paraId="05A41F12">
          <w:pPr>
            <w:pStyle w:val="30"/>
            <w:tabs>
              <w:tab w:val="left" w:pos="1940"/>
              <w:tab w:val="right" w:leader="dot" w:pos="9629"/>
            </w:tabs>
            <w:rPr>
              <w:rFonts w:cs="Arial" w:eastAsiaTheme="minorEastAsia"/>
              <w:kern w:val="2"/>
              <w:sz w:val="22"/>
              <w14:ligatures w14:val="standardContextual"/>
            </w:rPr>
          </w:pPr>
          <w:r>
            <w:fldChar w:fldCharType="begin"/>
          </w:r>
          <w:r>
            <w:instrText xml:space="preserve"> HYPERLINK \l "_Toc201926365" </w:instrText>
          </w:r>
          <w:r>
            <w:fldChar w:fldCharType="separate"/>
          </w:r>
          <w:r>
            <w:rPr>
              <w:rStyle w:val="24"/>
              <w:rFonts w:cs="Arial"/>
              <w:sz w:val="22"/>
              <w:lang w:val="ro-RO"/>
            </w:rPr>
            <w:t>5.9.5.</w:t>
          </w:r>
          <w:r>
            <w:rPr>
              <w:rFonts w:cs="Arial" w:eastAsiaTheme="minorEastAsia"/>
              <w:kern w:val="2"/>
              <w:sz w:val="22"/>
              <w14:ligatures w14:val="standardContextual"/>
            </w:rPr>
            <w:tab/>
          </w:r>
          <w:r>
            <w:rPr>
              <w:rStyle w:val="24"/>
              <w:rFonts w:cs="Arial"/>
              <w:sz w:val="22"/>
              <w:lang w:val="ro-RO"/>
            </w:rPr>
            <w:t>Indicatori ai implementării strategiei</w:t>
          </w:r>
          <w:r>
            <w:rPr>
              <w:rFonts w:cs="Arial"/>
              <w:sz w:val="22"/>
            </w:rPr>
            <w:tab/>
          </w:r>
          <w:r>
            <w:rPr>
              <w:rFonts w:cs="Arial"/>
              <w:sz w:val="22"/>
            </w:rPr>
            <w:fldChar w:fldCharType="begin"/>
          </w:r>
          <w:r>
            <w:rPr>
              <w:rFonts w:cs="Arial"/>
              <w:sz w:val="22"/>
            </w:rPr>
            <w:instrText xml:space="preserve"> PAGEREF _Toc201926365 \h </w:instrText>
          </w:r>
          <w:r>
            <w:rPr>
              <w:rFonts w:cs="Arial"/>
              <w:sz w:val="22"/>
            </w:rPr>
            <w:fldChar w:fldCharType="separate"/>
          </w:r>
          <w:r>
            <w:rPr>
              <w:rFonts w:cs="Arial"/>
              <w:sz w:val="22"/>
            </w:rPr>
            <w:t>112</w:t>
          </w:r>
          <w:r>
            <w:rPr>
              <w:rFonts w:cs="Arial"/>
              <w:sz w:val="22"/>
            </w:rPr>
            <w:fldChar w:fldCharType="end"/>
          </w:r>
          <w:r>
            <w:rPr>
              <w:rFonts w:cs="Arial"/>
              <w:sz w:val="22"/>
            </w:rPr>
            <w:fldChar w:fldCharType="end"/>
          </w:r>
        </w:p>
        <w:p w14:paraId="0D1F4944">
          <w:pPr>
            <w:ind w:firstLine="0"/>
            <w:rPr>
              <w:rFonts w:cs="Arial"/>
              <w:sz w:val="22"/>
              <w:lang w:val="ro-RO"/>
            </w:rPr>
          </w:pPr>
          <w:r>
            <w:rPr>
              <w:rFonts w:cs="Arial"/>
              <w:b/>
              <w:bCs/>
              <w:sz w:val="22"/>
              <w:lang w:val="ro-RO"/>
            </w:rPr>
            <w:fldChar w:fldCharType="end"/>
          </w:r>
        </w:p>
      </w:sdtContent>
    </w:sdt>
    <w:p w14:paraId="21F5F169">
      <w:pPr>
        <w:ind w:firstLine="0"/>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p>
    <w:p w14:paraId="57D95610">
      <w:pPr>
        <w:pStyle w:val="2"/>
        <w:rPr>
          <w:rFonts w:ascii="Arial" w:hAnsi="Arial" w:cs="Arial"/>
          <w:bCs/>
          <w:sz w:val="22"/>
          <w:szCs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bookmarkStart w:id="0" w:name="_Toc201926290"/>
      <w:r>
        <w:rPr>
          <w:rFonts w:ascii="Arial" w:hAnsi="Arial" w:cs="Arial"/>
          <w:bCs/>
          <w:sz w:val="22"/>
          <w:szCs w:val="22"/>
          <w:lang w:val="ro-RO" w:eastAsia="en-GB"/>
        </w:rPr>
        <mc:AlternateContent>
          <mc:Choice Requires="wps">
            <w:drawing>
              <wp:anchor distT="0" distB="0" distL="114300" distR="114300" simplePos="0" relativeHeight="251659264" behindDoc="0" locked="0" layoutInCell="1" allowOverlap="1">
                <wp:simplePos x="0" y="0"/>
                <wp:positionH relativeFrom="column">
                  <wp:posOffset>5362575</wp:posOffset>
                </wp:positionH>
                <wp:positionV relativeFrom="paragraph">
                  <wp:posOffset>-381000</wp:posOffset>
                </wp:positionV>
                <wp:extent cx="952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9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22.25pt;margin-top:-30pt;height:0.75pt;width:0.75pt;z-index:251659264;mso-width-relative:page;mso-height-relative:page;" filled="f" stroked="t" coordsize="21600,21600" o:gfxdata="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3jn5rZAAAACwEA&#10;AA8AAAAAAAAAAQAgAAAAIgAAAGRycy9kb3ducmV2LnhtbFBLAQIUABQAAAAIAIdO4kDswS5M4AEA&#10;AMADAAAOAAAAAAAAAAEAIAAAACgBAABkcnMvZTJvRG9jLnhtbFBLBQYAAAAABgAGAFkBAAB6BQAA&#10;AAA=&#10;">
                <v:fill on="f" focussize="0,0"/>
                <v:stroke weight="0.5pt" color="#4472C4 [3204]" miterlimit="8" joinstyle="miter"/>
                <v:imagedata o:title=""/>
                <o:lock v:ext="edit" aspectratio="f"/>
              </v:line>
            </w:pict>
          </mc:Fallback>
        </mc:AlternateContent>
      </w:r>
      <w:r>
        <w:rPr>
          <w:rFonts w:ascii="Arial" w:hAnsi="Arial" w:cs="Arial"/>
          <w:sz w:val="22"/>
          <w:szCs w:val="22"/>
          <w:lang w:val="ro-RO"/>
        </w:rPr>
        <w:t>CAPITOLUL 1</w:t>
      </w:r>
      <w:bookmarkEnd w:id="0"/>
    </w:p>
    <w:p w14:paraId="3274ACF6">
      <w:pPr>
        <w:pStyle w:val="2"/>
        <w:rPr>
          <w:rFonts w:ascii="Arial" w:hAnsi="Arial" w:cs="Arial"/>
          <w:sz w:val="22"/>
          <w:szCs w:val="22"/>
          <w:lang w:val="ro-RO"/>
        </w:rPr>
      </w:pPr>
      <w:bookmarkStart w:id="1" w:name="_Toc201926291"/>
      <w:r>
        <w:rPr>
          <w:rFonts w:ascii="Arial" w:hAnsi="Arial" w:cs="Arial"/>
          <w:sz w:val="22"/>
          <w:szCs w:val="22"/>
          <w:lang w:val="ro-RO"/>
        </w:rPr>
        <w:t>PARTEA INTRODUCTIVĂ</w:t>
      </w:r>
      <w:bookmarkEnd w:id="1"/>
    </w:p>
    <w:p w14:paraId="5B134151">
      <w:pPr>
        <w:tabs>
          <w:tab w:val="left" w:pos="9180"/>
        </w:tabs>
        <w:spacing w:line="336" w:lineRule="auto"/>
        <w:ind w:firstLine="547"/>
        <w:rPr>
          <w:rFonts w:eastAsia="Times New Roman" w:cs="Arial"/>
          <w:iCs/>
          <w:sz w:val="22"/>
          <w:lang w:val="ro-RO" w:eastAsia="ro-RO"/>
        </w:rPr>
      </w:pPr>
      <w:r>
        <w:rPr>
          <w:rFonts w:eastAsia="Times New Roman" w:cs="Arial"/>
          <w:iCs/>
          <w:sz w:val="22"/>
          <w:lang w:val="fr-FR" w:eastAsia="ro-RO"/>
        </w:rPr>
        <w:t>Elaborarea  Strategiei  de  Dezvoltare  Socio – Economic</w:t>
      </w:r>
      <w:r>
        <w:rPr>
          <w:rFonts w:eastAsia="Times New Roman" w:cs="Arial"/>
          <w:iCs/>
          <w:sz w:val="22"/>
          <w:lang w:val="ro-RO" w:eastAsia="ro-RO"/>
        </w:rPr>
        <w:t xml:space="preserve">ă  a  localităţii Șimian din Judeţul Mehedinți a vizat în principal creşterea capacităţii de planificare şi parteneriat </w:t>
      </w:r>
      <w:r>
        <w:rPr>
          <w:rFonts w:eastAsia="Times New Roman" w:cs="Arial"/>
          <w:bCs/>
          <w:iCs/>
          <w:sz w:val="22"/>
          <w:lang w:val="ro-RO" w:eastAsia="ro-RO"/>
        </w:rPr>
        <w:t xml:space="preserve">pentru a întări capacitatea de absorbţie a fondurilor  europene </w:t>
      </w:r>
      <w:r>
        <w:rPr>
          <w:rFonts w:eastAsia="Times New Roman" w:cs="Arial"/>
          <w:iCs/>
          <w:sz w:val="22"/>
          <w:lang w:val="ro-RO" w:eastAsia="ro-RO"/>
        </w:rPr>
        <w:t>la nivelul localităţii şi al asociaţiilor din care comuna face parte.</w:t>
      </w:r>
    </w:p>
    <w:p w14:paraId="0CBDA655">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t>Acest  studiu  în care au fost implicaţi atât autorităţile locale, cât şi cetăţenii comunei Șimian, prin abordarea propusă a obţinut următoarele rezultate:</w:t>
      </w:r>
    </w:p>
    <w:p w14:paraId="62A2BF8D">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sym w:font="Symbol" w:char="F0AE"/>
      </w:r>
      <w:r>
        <w:rPr>
          <w:rFonts w:eastAsia="Times New Roman" w:cs="Arial"/>
          <w:iCs/>
          <w:sz w:val="22"/>
          <w:lang w:val="ro-RO" w:eastAsia="ro-RO"/>
        </w:rPr>
        <w:t xml:space="preserve"> analiza situaţiei existente pentru domeniile de dezvoltare principale cu identificarea şi promovarea intereselor reale ale comunităţii;</w:t>
      </w:r>
    </w:p>
    <w:p w14:paraId="189B78AA">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sym w:font="Symbol" w:char="F0AE"/>
      </w:r>
      <w:r>
        <w:rPr>
          <w:rFonts w:eastAsia="Times New Roman" w:cs="Arial"/>
          <w:iCs/>
          <w:sz w:val="22"/>
          <w:lang w:val="ro-RO" w:eastAsia="ro-RO"/>
        </w:rPr>
        <w:t xml:space="preserve"> îmbunătăţirea comunicării prin promovarea dialogului social între toţi factorii de decizie la nivelul comunităţii; </w:t>
      </w:r>
    </w:p>
    <w:p w14:paraId="1F70CF93">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sym w:font="Symbol" w:char="F0AE"/>
      </w:r>
      <w:r>
        <w:rPr>
          <w:rFonts w:eastAsia="Times New Roman" w:cs="Arial"/>
          <w:iCs/>
          <w:sz w:val="22"/>
          <w:lang w:val="ro-RO" w:eastAsia="ro-RO"/>
        </w:rPr>
        <w:t xml:space="preserve"> atragerea tuturor celor implicaţi în procesul decizional legat de viitorul dezvoltării comunei şi în iniţierea de proiecte, la nivel de localitate;</w:t>
      </w:r>
    </w:p>
    <w:p w14:paraId="45D80E9F">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sym w:font="Symbol" w:char="F0AE"/>
      </w:r>
      <w:r>
        <w:rPr>
          <w:rFonts w:eastAsia="Times New Roman" w:cs="Arial"/>
          <w:iCs/>
          <w:sz w:val="22"/>
          <w:lang w:val="ro-RO" w:eastAsia="ro-RO"/>
        </w:rPr>
        <w:t xml:space="preserve"> corelarea strategiei de dezvoltare locală cu strategia de dezvoltare a judeţului şi cu cea regională, cât şi stimularea iniţiativelor de parteneriat;</w:t>
      </w:r>
    </w:p>
    <w:p w14:paraId="0CB5C9E6">
      <w:pPr>
        <w:tabs>
          <w:tab w:val="left" w:pos="9180"/>
        </w:tabs>
        <w:spacing w:line="336" w:lineRule="auto"/>
        <w:ind w:firstLine="547"/>
        <w:rPr>
          <w:rFonts w:eastAsia="Times New Roman" w:cs="Arial"/>
          <w:iCs/>
          <w:sz w:val="22"/>
          <w:lang w:val="ro-RO" w:eastAsia="ro-RO"/>
        </w:rPr>
      </w:pPr>
      <w:r>
        <w:rPr>
          <w:rFonts w:eastAsia="Times New Roman" w:cs="Arial"/>
          <w:iCs/>
          <w:sz w:val="22"/>
          <w:lang w:val="ro-RO" w:eastAsia="ro-RO"/>
        </w:rPr>
        <w:sym w:font="Symbol" w:char="F0AE"/>
      </w:r>
      <w:r>
        <w:rPr>
          <w:rFonts w:eastAsia="Times New Roman" w:cs="Arial"/>
          <w:iCs/>
          <w:sz w:val="22"/>
          <w:lang w:val="ro-RO" w:eastAsia="ro-RO"/>
        </w:rPr>
        <w:t xml:space="preserve"> consolidarea relaţiilor de colaborare cu asumarea responsabilităţilor, între principalii actori la nivel local în vederea creşterii şanselor de accesare a fondurilor europene;</w:t>
      </w:r>
      <w:r>
        <w:rPr>
          <w:rFonts w:eastAsia="Times New Roman" w:cs="Arial"/>
          <w:iCs/>
          <w:sz w:val="22"/>
          <w:lang w:val="fr-FR" w:eastAsia="ro-RO"/>
        </w:rPr>
        <w:t xml:space="preserve">     </w:t>
      </w:r>
    </w:p>
    <w:p w14:paraId="350F31C1">
      <w:pPr>
        <w:tabs>
          <w:tab w:val="left" w:pos="9180"/>
        </w:tabs>
        <w:spacing w:line="336" w:lineRule="auto"/>
        <w:ind w:firstLine="547"/>
        <w:rPr>
          <w:rFonts w:eastAsia="Times New Roman" w:cs="Arial"/>
          <w:iCs/>
          <w:sz w:val="22"/>
          <w:lang w:val="ro-RO" w:eastAsia="ro-RO"/>
        </w:rPr>
      </w:pPr>
      <w:r>
        <w:rPr>
          <w:rFonts w:eastAsia="Times New Roman" w:cs="Arial"/>
          <w:iCs/>
          <w:sz w:val="22"/>
          <w:lang w:val="fr-FR" w:eastAsia="ro-RO"/>
        </w:rPr>
        <w:t xml:space="preserve">  La Summitul Mondial </w:t>
      </w:r>
      <w:r>
        <w:rPr>
          <w:rFonts w:eastAsia="Times New Roman" w:cs="Arial"/>
          <w:iCs/>
          <w:sz w:val="22"/>
          <w:lang w:val="ro-RO" w:eastAsia="ro-RO"/>
        </w:rPr>
        <w:t>de la Rio de Janeiro liderii majorităţii ţărilor lumii au recunoscut importanţa centrală a acţiunilor locale pentru atingerea de</w:t>
      </w:r>
      <w:r>
        <w:rPr>
          <w:rFonts w:eastAsia="Times New Roman" w:cs="Arial"/>
          <w:iCs/>
          <w:sz w:val="22"/>
          <w:lang w:val="fr-FR" w:eastAsia="ro-RO"/>
        </w:rPr>
        <w:t>zideratelor dezvolt</w:t>
      </w:r>
      <w:r>
        <w:rPr>
          <w:rFonts w:eastAsia="Times New Roman" w:cs="Arial"/>
          <w:iCs/>
          <w:sz w:val="22"/>
          <w:lang w:val="ro-RO" w:eastAsia="ro-RO"/>
        </w:rPr>
        <w:t>ării durabile. Începând cu acel moment “Agenda 21” a devenit catalizatorul a numeroase proiecte şi iniţiative ce promovează dezvoltarea durabilă la nivel local. „Agenda 21” are propriul mecanism de implementare prin strategiile de de</w:t>
      </w:r>
      <w:r>
        <w:rPr>
          <w:rFonts w:eastAsia="Times New Roman" w:cs="Arial"/>
          <w:iCs/>
          <w:sz w:val="22"/>
          <w:lang w:val="fr-FR" w:eastAsia="ro-RO"/>
        </w:rPr>
        <w:t xml:space="preserve">zvoltare </w:t>
      </w:r>
      <w:r>
        <w:rPr>
          <w:rFonts w:eastAsia="Times New Roman" w:cs="Arial"/>
          <w:iCs/>
          <w:sz w:val="22"/>
          <w:lang w:val="ro-RO" w:eastAsia="ro-RO"/>
        </w:rPr>
        <w:t>durabilă naţionale, regionale şi „Agenda 21</w:t>
      </w:r>
      <w:r>
        <w:rPr>
          <w:rFonts w:eastAsia="Times New Roman" w:cs="Arial"/>
          <w:iCs/>
          <w:sz w:val="22"/>
          <w:lang w:val="fr-FR" w:eastAsia="ro-RO"/>
        </w:rPr>
        <w:t>”</w:t>
      </w:r>
      <w:r>
        <w:rPr>
          <w:rFonts w:eastAsia="Times New Roman" w:cs="Arial"/>
          <w:iCs/>
          <w:sz w:val="22"/>
          <w:lang w:val="ro-RO" w:eastAsia="ro-RO"/>
        </w:rPr>
        <w:t xml:space="preserve"> locală</w:t>
      </w:r>
      <w:r>
        <w:rPr>
          <w:rFonts w:eastAsia="Times New Roman" w:cs="Arial"/>
          <w:iCs/>
          <w:sz w:val="22"/>
          <w:lang w:val="ro-RO" w:eastAsia="ro-RO"/>
        </w:rPr>
        <w:tab/>
      </w:r>
    </w:p>
    <w:p w14:paraId="22F4919B">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Dezvoltarea durabilă înseamnă în primul rând asigurarea unei calităţi mai bune a vieţii pentru toţi, în prezent şi pentru generaţiile viitoare. Dezvoltarea durabilă mai înseamnă recunoaşterea faptului că economia, mediul şi bunăstarea socială sunt interdependente şi anume faptul că un mediu afectat din punct de vedere calitativ va influenţa negativ, mai devreme sau mai târziu dezvoltarea economică şi mai ales calitatea vieţii fiecăruia dintre noi.  </w:t>
      </w:r>
      <w:r>
        <w:rPr>
          <w:rFonts w:eastAsia="Times New Roman" w:cs="Arial"/>
          <w:bCs/>
          <w:iCs/>
          <w:sz w:val="22"/>
          <w:lang w:val="ro-RO" w:eastAsia="ro-RO"/>
        </w:rPr>
        <w:t>Dezvoltarea durabilă înseamnă şi asigurarea satisfacerii nevoilor de bază ale oamenilor: locuinţe pentru toţi, străzi mai sigure, locuri de muncă, servicii medicale de calitate, accesul la educaţie, accesul la informaţii. Toate acestea necesită o economie robustă, sănătoasă, capabilă să creeze mijloacele necesare satisfacerii acestor nevoi atât în prezent cât şi în viitor</w:t>
      </w:r>
      <w:r>
        <w:rPr>
          <w:rFonts w:eastAsia="Times New Roman" w:cs="Arial"/>
          <w:iCs/>
          <w:sz w:val="22"/>
          <w:lang w:val="ro-RO" w:eastAsia="ro-RO"/>
        </w:rPr>
        <w:t>.</w:t>
      </w:r>
    </w:p>
    <w:p w14:paraId="1B82AEA5">
      <w:pPr>
        <w:tabs>
          <w:tab w:val="left" w:pos="9180"/>
        </w:tabs>
        <w:spacing w:line="336" w:lineRule="auto"/>
        <w:ind w:firstLine="0"/>
        <w:rPr>
          <w:rFonts w:eastAsia="Times New Roman" w:cs="Arial"/>
          <w:iCs/>
          <w:sz w:val="22"/>
          <w:lang w:val="fr-FR" w:eastAsia="ro-RO"/>
        </w:rPr>
      </w:pPr>
      <w:r>
        <w:rPr>
          <w:rFonts w:eastAsia="Times New Roman" w:cs="Arial"/>
          <w:iCs/>
          <w:sz w:val="22"/>
          <w:lang w:val="ro-RO" w:eastAsia="ro-RO"/>
        </w:rPr>
        <w:t xml:space="preserve">        Pe scurt, </w:t>
      </w:r>
      <w:r>
        <w:rPr>
          <w:rFonts w:eastAsia="Times New Roman" w:cs="Arial"/>
          <w:iCs/>
          <w:sz w:val="22"/>
          <w:lang w:val="fr-FR" w:eastAsia="ro-RO"/>
        </w:rPr>
        <w:t>dez</w:t>
      </w:r>
      <w:r>
        <w:rPr>
          <w:rFonts w:eastAsia="Times New Roman" w:cs="Arial"/>
          <w:iCs/>
          <w:sz w:val="22"/>
          <w:lang w:val="ro-RO" w:eastAsia="ro-RO"/>
        </w:rPr>
        <w:t>voltarea durabilă presupune</w:t>
      </w:r>
      <w:r>
        <w:rPr>
          <w:rFonts w:eastAsia="Times New Roman" w:cs="Arial"/>
          <w:iCs/>
          <w:sz w:val="22"/>
          <w:lang w:val="fr-FR" w:eastAsia="ro-RO"/>
        </w:rPr>
        <w:t>:</w:t>
      </w:r>
    </w:p>
    <w:p w14:paraId="7F72A06B">
      <w:pPr>
        <w:tabs>
          <w:tab w:val="left" w:pos="9180"/>
        </w:tabs>
        <w:spacing w:line="336" w:lineRule="auto"/>
        <w:ind w:firstLine="0"/>
        <w:rPr>
          <w:rFonts w:eastAsia="Times New Roman" w:cs="Arial"/>
          <w:iCs/>
          <w:sz w:val="22"/>
          <w:lang w:val="fr-FR" w:eastAsia="ro-RO"/>
        </w:rPr>
      </w:pPr>
      <w:r>
        <w:rPr>
          <w:rFonts w:eastAsia="Times New Roman" w:cs="Arial"/>
          <w:iCs/>
          <w:sz w:val="22"/>
          <w:lang w:val="fr-FR" w:eastAsia="ro-RO"/>
        </w:rPr>
        <w:t xml:space="preserve">     -     Un nou rol pentru autorităţile locale şi leaderii comunitari;</w:t>
      </w:r>
    </w:p>
    <w:p w14:paraId="6B8116B7">
      <w:pPr>
        <w:tabs>
          <w:tab w:val="left" w:pos="9180"/>
        </w:tabs>
        <w:spacing w:line="336" w:lineRule="auto"/>
        <w:ind w:left="360" w:firstLine="0"/>
        <w:rPr>
          <w:rFonts w:eastAsia="Times New Roman" w:cs="Arial"/>
          <w:iCs/>
          <w:sz w:val="22"/>
          <w:lang w:val="ro-RO" w:eastAsia="ro-RO"/>
        </w:rPr>
      </w:pPr>
      <w:r>
        <w:rPr>
          <w:rFonts w:eastAsia="Times New Roman" w:cs="Arial"/>
          <w:iCs/>
          <w:sz w:val="22"/>
          <w:lang w:val="fr-FR" w:eastAsia="ro-RO"/>
        </w:rPr>
        <w:t xml:space="preserve">-   </w:t>
      </w:r>
      <w:r>
        <w:rPr>
          <w:rFonts w:eastAsia="Times New Roman" w:cs="Arial"/>
          <w:iCs/>
          <w:sz w:val="22"/>
          <w:lang w:val="ro-RO" w:eastAsia="ro-RO"/>
        </w:rPr>
        <w:t>Promovarea bunăstării sociale şi economice a membrilor comunităţii şi a calităţii mediului în zonele de rezidenţă;</w:t>
      </w:r>
    </w:p>
    <w:p w14:paraId="52514F68">
      <w:pPr>
        <w:tabs>
          <w:tab w:val="left" w:pos="9180"/>
        </w:tabs>
        <w:ind w:left="360" w:firstLine="0"/>
        <w:rPr>
          <w:rFonts w:eastAsia="Times New Roman" w:cs="Arial"/>
          <w:iCs/>
          <w:sz w:val="22"/>
          <w:lang w:val="ro-RO" w:eastAsia="ro-RO"/>
        </w:rPr>
      </w:pPr>
      <w:r>
        <w:rPr>
          <w:rFonts w:eastAsia="Times New Roman" w:cs="Arial"/>
          <w:iCs/>
          <w:sz w:val="22"/>
          <w:lang w:val="ro-RO" w:eastAsia="ro-RO"/>
        </w:rPr>
        <w:t xml:space="preserve"> -   Implicarea şi consultarea localnicilor şi a formelor de organizare a acestora;</w:t>
      </w:r>
    </w:p>
    <w:p w14:paraId="14603C66">
      <w:pPr>
        <w:tabs>
          <w:tab w:val="left" w:pos="9180"/>
        </w:tabs>
        <w:ind w:firstLine="0"/>
        <w:rPr>
          <w:rFonts w:eastAsia="Times New Roman" w:cs="Arial"/>
          <w:iCs/>
          <w:sz w:val="22"/>
          <w:lang w:val="ro-RO" w:eastAsia="ro-RO"/>
        </w:rPr>
      </w:pPr>
      <w:r>
        <w:rPr>
          <w:rFonts w:eastAsia="Times New Roman" w:cs="Arial"/>
          <w:iCs/>
          <w:sz w:val="22"/>
          <w:lang w:val="ro-RO" w:eastAsia="ro-RO"/>
        </w:rPr>
        <w:t xml:space="preserve">      -   Dezvoltarea unei viziuni şi a unui plan pentru zonă;</w:t>
      </w:r>
    </w:p>
    <w:p w14:paraId="4AF9D2F2">
      <w:pPr>
        <w:tabs>
          <w:tab w:val="left" w:pos="9180"/>
        </w:tabs>
        <w:ind w:firstLine="0"/>
        <w:rPr>
          <w:rFonts w:eastAsia="Times New Roman" w:cs="Arial"/>
          <w:iCs/>
          <w:sz w:val="22"/>
          <w:lang w:val="ro-RO" w:eastAsia="ro-RO"/>
        </w:rPr>
      </w:pPr>
      <w:r>
        <w:rPr>
          <w:rFonts w:eastAsia="Times New Roman" w:cs="Arial"/>
          <w:iCs/>
          <w:sz w:val="22"/>
          <w:lang w:val="ro-RO" w:eastAsia="ro-RO"/>
        </w:rPr>
        <w:t xml:space="preserve">      -   Dezvoltarea şi oferirea serviciilor care îmbunătăţesc calitatea vieţii.</w:t>
      </w:r>
    </w:p>
    <w:p w14:paraId="6D1E6919">
      <w:pPr>
        <w:tabs>
          <w:tab w:val="left" w:pos="0"/>
          <w:tab w:val="left" w:pos="9180"/>
        </w:tabs>
        <w:spacing w:line="336" w:lineRule="auto"/>
        <w:ind w:firstLine="540"/>
        <w:rPr>
          <w:rFonts w:eastAsia="Times New Roman" w:cs="Arial"/>
          <w:iCs/>
          <w:sz w:val="22"/>
          <w:lang w:val="ro-RO" w:eastAsia="ro-RO"/>
        </w:rPr>
      </w:pPr>
      <w:r>
        <w:rPr>
          <w:rFonts w:eastAsia="Times New Roman" w:cs="Arial"/>
          <w:iCs/>
          <w:sz w:val="22"/>
          <w:lang w:val="ro-RO" w:eastAsia="ro-RO"/>
        </w:rPr>
        <w:t xml:space="preserve"> Autorităţile locale, organi</w:t>
      </w:r>
      <w:r>
        <w:rPr>
          <w:rFonts w:eastAsia="Times New Roman" w:cs="Arial"/>
          <w:iCs/>
          <w:sz w:val="22"/>
          <w:lang w:val="fr-FR" w:eastAsia="ro-RO"/>
        </w:rPr>
        <w:t>z</w:t>
      </w:r>
      <w:r>
        <w:rPr>
          <w:rFonts w:eastAsia="Times New Roman" w:cs="Arial"/>
          <w:iCs/>
          <w:sz w:val="22"/>
          <w:lang w:val="ro-RO" w:eastAsia="ro-RO"/>
        </w:rPr>
        <w:t>aţiile neguvernamentale, organi</w:t>
      </w:r>
      <w:r>
        <w:rPr>
          <w:rFonts w:eastAsia="Times New Roman" w:cs="Arial"/>
          <w:iCs/>
          <w:sz w:val="22"/>
          <w:lang w:val="fr-FR" w:eastAsia="ro-RO"/>
        </w:rPr>
        <w:t>z</w:t>
      </w:r>
      <w:r>
        <w:rPr>
          <w:rFonts w:eastAsia="Times New Roman" w:cs="Arial"/>
          <w:iCs/>
          <w:sz w:val="22"/>
          <w:lang w:val="ro-RO" w:eastAsia="ro-RO"/>
        </w:rPr>
        <w:t>aţiile comunitare şi de afaceri au nevoie în acest moment de facilitatori comunitari care să fie capabili să cree</w:t>
      </w:r>
      <w:r>
        <w:rPr>
          <w:rFonts w:eastAsia="Times New Roman" w:cs="Arial"/>
          <w:iCs/>
          <w:sz w:val="22"/>
          <w:lang w:val="fr-FR" w:eastAsia="ro-RO"/>
        </w:rPr>
        <w:t>z</w:t>
      </w:r>
      <w:r>
        <w:rPr>
          <w:rFonts w:eastAsia="Times New Roman" w:cs="Arial"/>
          <w:iCs/>
          <w:sz w:val="22"/>
          <w:lang w:val="ro-RO" w:eastAsia="ro-RO"/>
        </w:rPr>
        <w:t>e puntea de legătură dintre politicile guvernamentale de de</w:t>
      </w:r>
      <w:r>
        <w:rPr>
          <w:rFonts w:eastAsia="Times New Roman" w:cs="Arial"/>
          <w:iCs/>
          <w:sz w:val="22"/>
          <w:lang w:val="fr-FR" w:eastAsia="ro-RO"/>
        </w:rPr>
        <w:t>z</w:t>
      </w:r>
      <w:r>
        <w:rPr>
          <w:rFonts w:eastAsia="Times New Roman" w:cs="Arial"/>
          <w:iCs/>
          <w:sz w:val="22"/>
          <w:lang w:val="ro-RO" w:eastAsia="ro-RO"/>
        </w:rPr>
        <w:t>voltare şi nevoile şi dorinţele comunităţilor locale.</w:t>
      </w:r>
    </w:p>
    <w:p w14:paraId="42B2E675">
      <w:pPr>
        <w:tabs>
          <w:tab w:val="left" w:pos="0"/>
          <w:tab w:val="left" w:pos="9180"/>
        </w:tabs>
        <w:spacing w:line="336" w:lineRule="auto"/>
        <w:rPr>
          <w:rFonts w:eastAsia="Times New Roman" w:cs="Arial"/>
          <w:b/>
          <w:bCs/>
          <w:iCs/>
          <w:sz w:val="22"/>
          <w:lang w:val="ro-RO" w:eastAsia="ro-RO"/>
        </w:rPr>
      </w:pPr>
      <w:r>
        <w:rPr>
          <w:rFonts w:eastAsia="Times New Roman" w:cs="Arial"/>
          <w:iCs/>
          <w:sz w:val="22"/>
          <w:lang w:val="ro-RO" w:eastAsia="ro-RO"/>
        </w:rPr>
        <w:t>Pentru reali</w:t>
      </w:r>
      <w:r>
        <w:rPr>
          <w:rFonts w:eastAsia="Times New Roman" w:cs="Arial"/>
          <w:iCs/>
          <w:sz w:val="22"/>
          <w:lang w:val="fr-FR" w:eastAsia="ro-RO"/>
        </w:rPr>
        <w:t>z</w:t>
      </w:r>
      <w:r>
        <w:rPr>
          <w:rFonts w:eastAsia="Times New Roman" w:cs="Arial"/>
          <w:iCs/>
          <w:sz w:val="22"/>
          <w:lang w:val="ro-RO" w:eastAsia="ro-RO"/>
        </w:rPr>
        <w:t xml:space="preserve">area celor menţionate mai sus e nevoie de aportul fiecăruia dintre noi. Toţi suntem responsabili, fie că reprezentăm autorităţile fie că suntem simpli cetăţeni, angajaţi sau mici întreprinzători, fie că suntem organizţi în grupuri locale. </w:t>
      </w:r>
      <w:r>
        <w:rPr>
          <w:rFonts w:eastAsia="Times New Roman" w:cs="Arial"/>
          <w:bCs/>
          <w:iCs/>
          <w:sz w:val="22"/>
          <w:lang w:val="ro-RO" w:eastAsia="ro-RO"/>
        </w:rPr>
        <w:t>Realizarea dezvoltării durabile trebuie să fie dezideratul oricărei administraţii moderne şi trebuie să se reflecte în  pregătirea strategiilor locale de dezvoltare durabilă pentru a promova bunăstarea socială şi economică şi calitatea mediului în zonele de rezidenţă</w:t>
      </w:r>
      <w:r>
        <w:rPr>
          <w:rFonts w:eastAsia="Times New Roman" w:cs="Arial"/>
          <w:iCs/>
          <w:sz w:val="22"/>
          <w:lang w:val="ro-RO" w:eastAsia="ro-RO"/>
        </w:rPr>
        <w:t xml:space="preserve"> şi astfel să contribuie la dezvoltarea durabilă a României.</w:t>
      </w:r>
    </w:p>
    <w:p w14:paraId="643FF270">
      <w:pPr>
        <w:tabs>
          <w:tab w:val="left" w:pos="180"/>
          <w:tab w:val="left" w:pos="9180"/>
        </w:tabs>
        <w:ind w:firstLine="540"/>
        <w:rPr>
          <w:rFonts w:eastAsia="Times New Roman" w:cs="Arial"/>
          <w:b/>
          <w:bCs/>
          <w:iCs/>
          <w:sz w:val="22"/>
          <w:lang w:val="ro-RO" w:eastAsia="ro-RO"/>
        </w:rPr>
      </w:pPr>
      <w:r>
        <w:rPr>
          <w:rFonts w:eastAsia="Times New Roman" w:cs="Arial"/>
          <w:iCs/>
          <w:sz w:val="22"/>
          <w:lang w:val="ro-RO" w:eastAsia="ro-RO"/>
        </w:rPr>
        <w:t xml:space="preserve">    Uniunea Europeană acordă o importanţă majoră spaţiului rural, importanţă reflectată de politicile şi programele promovate de acest for. Unul din documentele ce stau la ba</w:t>
      </w:r>
      <w:r>
        <w:rPr>
          <w:rFonts w:eastAsia="Times New Roman" w:cs="Arial"/>
          <w:iCs/>
          <w:sz w:val="22"/>
          <w:lang w:val="fr-FR" w:eastAsia="ro-RO"/>
        </w:rPr>
        <w:t>z</w:t>
      </w:r>
      <w:r>
        <w:rPr>
          <w:rFonts w:eastAsia="Times New Roman" w:cs="Arial"/>
          <w:iCs/>
          <w:sz w:val="22"/>
          <w:lang w:val="ro-RO" w:eastAsia="ro-RO"/>
        </w:rPr>
        <w:t xml:space="preserve">a tuturor acestor politici este </w:t>
      </w:r>
      <w:r>
        <w:rPr>
          <w:rFonts w:eastAsia="Times New Roman" w:cs="Arial"/>
          <w:b/>
          <w:bCs/>
          <w:iCs/>
          <w:sz w:val="22"/>
          <w:lang w:val="ro-RO" w:eastAsia="ro-RO"/>
        </w:rPr>
        <w:t>Programul de de</w:t>
      </w:r>
      <w:r>
        <w:rPr>
          <w:rFonts w:eastAsia="Times New Roman" w:cs="Arial"/>
          <w:b/>
          <w:bCs/>
          <w:iCs/>
          <w:sz w:val="22"/>
          <w:lang w:val="fr-FR" w:eastAsia="ro-RO"/>
        </w:rPr>
        <w:t>z</w:t>
      </w:r>
      <w:r>
        <w:rPr>
          <w:rFonts w:eastAsia="Times New Roman" w:cs="Arial"/>
          <w:b/>
          <w:bCs/>
          <w:iCs/>
          <w:sz w:val="22"/>
          <w:lang w:val="ro-RO" w:eastAsia="ro-RO"/>
        </w:rPr>
        <w:t>voltare rurală al Uniunii Europene.</w:t>
      </w:r>
    </w:p>
    <w:p w14:paraId="0444AE06">
      <w:pPr>
        <w:tabs>
          <w:tab w:val="left" w:pos="180"/>
          <w:tab w:val="left" w:pos="9180"/>
        </w:tabs>
        <w:spacing w:line="336" w:lineRule="auto"/>
        <w:ind w:firstLine="540"/>
        <w:rPr>
          <w:rFonts w:eastAsia="Times New Roman" w:cs="Arial"/>
          <w:iCs/>
          <w:sz w:val="22"/>
          <w:lang w:val="ro-RO" w:eastAsia="ro-RO"/>
        </w:rPr>
      </w:pPr>
      <w:r>
        <w:rPr>
          <w:rFonts w:eastAsia="Times New Roman" w:cs="Arial"/>
          <w:iCs/>
          <w:sz w:val="22"/>
          <w:lang w:val="ro-RO" w:eastAsia="ro-RO"/>
        </w:rPr>
        <w:t xml:space="preserve">În acest cadru general îşi are originea și </w:t>
      </w:r>
      <w:r>
        <w:rPr>
          <w:rFonts w:eastAsia="Times New Roman" w:cs="Arial"/>
          <w:b/>
          <w:bCs/>
          <w:iCs/>
          <w:sz w:val="22"/>
          <w:lang w:val="ro-RO" w:eastAsia="ro-RO"/>
        </w:rPr>
        <w:t xml:space="preserve">Programul Naţional de Dezvoltare Rurală </w:t>
      </w:r>
      <w:r>
        <w:rPr>
          <w:rFonts w:eastAsia="Times New Roman" w:cs="Arial"/>
          <w:iCs/>
          <w:sz w:val="22"/>
          <w:lang w:val="ro-RO" w:eastAsia="ro-RO"/>
        </w:rPr>
        <w:t xml:space="preserve"> prin care se acordă  locuitorilor, organizaţiilor din  mediul rural, autoritailor publice locale, firmelor din mediul rural, importante sume de bani nerambursabili atât pentru dezvoltarea şi diversificarea mediului de afaceri cât şi pentru autorităţile locale pentru a putea întreprinde măsuri prin care să ducă la bunăstarea locuitorilor.</w:t>
      </w:r>
    </w:p>
    <w:p w14:paraId="59D4CEE8">
      <w:pPr>
        <w:tabs>
          <w:tab w:val="left" w:pos="180"/>
          <w:tab w:val="left" w:pos="9180"/>
        </w:tabs>
        <w:spacing w:line="336" w:lineRule="auto"/>
        <w:ind w:firstLine="540"/>
        <w:rPr>
          <w:rFonts w:eastAsia="Times New Roman" w:cs="Arial"/>
          <w:iCs/>
          <w:sz w:val="22"/>
          <w:lang w:val="ro-RO" w:eastAsia="ro-RO"/>
        </w:rPr>
      </w:pPr>
      <w:r>
        <w:rPr>
          <w:rFonts w:eastAsia="Times New Roman" w:cs="Arial"/>
          <w:iCs/>
          <w:sz w:val="22"/>
          <w:lang w:val="ro-RO" w:eastAsia="ro-RO"/>
        </w:rPr>
        <w:t>Spaţiul rural joacă un rol important în contextul naţional, atât în ce priveşte dimensiunea sa, cât şi în ceea ce priveşte funcţia sa re</w:t>
      </w:r>
      <w:r>
        <w:rPr>
          <w:rFonts w:eastAsia="Times New Roman" w:cs="Arial"/>
          <w:iCs/>
          <w:sz w:val="22"/>
          <w:lang w:eastAsia="ro-RO"/>
        </w:rPr>
        <w:t>z</w:t>
      </w:r>
      <w:r>
        <w:rPr>
          <w:rFonts w:eastAsia="Times New Roman" w:cs="Arial"/>
          <w:iCs/>
          <w:sz w:val="22"/>
          <w:lang w:val="ro-RO" w:eastAsia="ro-RO"/>
        </w:rPr>
        <w:t>idenţială, ecomomică şi recreaţională.</w:t>
      </w:r>
    </w:p>
    <w:p w14:paraId="79CD9620">
      <w:pPr>
        <w:tabs>
          <w:tab w:val="left" w:pos="180"/>
          <w:tab w:val="left" w:pos="9180"/>
        </w:tabs>
        <w:spacing w:line="336" w:lineRule="auto"/>
        <w:ind w:firstLine="540"/>
        <w:rPr>
          <w:rFonts w:eastAsia="Times New Roman" w:cs="Arial"/>
          <w:iCs/>
          <w:sz w:val="22"/>
          <w:lang w:eastAsia="ro-RO"/>
        </w:rPr>
      </w:pPr>
      <w:r>
        <w:rPr>
          <w:rFonts w:eastAsia="Times New Roman" w:cs="Arial"/>
          <w:iCs/>
          <w:sz w:val="22"/>
          <w:lang w:eastAsia="ro-RO"/>
        </w:rPr>
        <w:t>Conform estimărilor preliminare ale Eurostat pentru anul 2024, PIB-ul pe cap de locuitor al României exprimat în standarde ale puterii de cumpărare (PPS) a fost de 76% din media UE. Aceste date reflectă o îmbunătățire semnificativă a nivelului PIB-ului pe cap de locuitor al României în raport cu media UE, de la 34% în 2005 la 76% în 2024, evidențiind progresul economic al țării în această perioadă.</w:t>
      </w:r>
    </w:p>
    <w:p w14:paraId="092E1205">
      <w:pPr>
        <w:tabs>
          <w:tab w:val="left" w:pos="180"/>
          <w:tab w:val="left" w:pos="9180"/>
        </w:tabs>
        <w:spacing w:line="336" w:lineRule="auto"/>
        <w:ind w:firstLine="540"/>
        <w:rPr>
          <w:rFonts w:eastAsia="Times New Roman" w:cs="Arial"/>
          <w:iCs/>
          <w:sz w:val="22"/>
          <w:lang w:eastAsia="ro-RO"/>
        </w:rPr>
      </w:pPr>
      <w:r>
        <w:rPr>
          <w:rFonts w:eastAsia="Times New Roman" w:cs="Arial"/>
          <w:iCs/>
          <w:sz w:val="22"/>
          <w:lang w:eastAsia="ro-RO"/>
        </w:rPr>
        <w:t>Pentru anul 2024, estimările preliminare indică o creștere reală a PIB-ului de 0,9% în UE și de 0,8% în zona euro. Această rată de creștere este sub așteptările anterioare ale Comisiei Europene, care prognozase o creștere de 1,4% .</w:t>
      </w:r>
    </w:p>
    <w:p w14:paraId="379741BB">
      <w:pPr>
        <w:tabs>
          <w:tab w:val="left" w:pos="180"/>
          <w:tab w:val="left" w:pos="9180"/>
        </w:tabs>
        <w:spacing w:line="336" w:lineRule="auto"/>
        <w:ind w:firstLine="0"/>
        <w:rPr>
          <w:rFonts w:eastAsia="Times New Roman" w:cs="Arial"/>
          <w:iCs/>
          <w:sz w:val="22"/>
          <w:lang w:eastAsia="ro-RO"/>
        </w:rPr>
      </w:pPr>
    </w:p>
    <w:p w14:paraId="3C335746">
      <w:pPr>
        <w:tabs>
          <w:tab w:val="left" w:pos="180"/>
          <w:tab w:val="left" w:pos="9180"/>
        </w:tabs>
        <w:spacing w:line="336" w:lineRule="auto"/>
        <w:ind w:firstLine="540"/>
        <w:rPr>
          <w:rFonts w:eastAsia="Times New Roman" w:cs="Arial"/>
          <w:iCs/>
          <w:sz w:val="22"/>
          <w:lang w:eastAsia="ro-RO"/>
        </w:rPr>
      </w:pPr>
      <w:r>
        <w:rPr>
          <w:rFonts w:eastAsia="Times New Roman" w:cs="Arial"/>
          <w:iCs/>
          <w:sz w:val="22"/>
          <w:lang w:eastAsia="ro-RO"/>
        </w:rPr>
        <w:t>Ponderea agriculturii în PIB: În 2023, valoarea adăugată brută (VAB) din agricultură, silvicultură și pescuit a reprezentat aproximativ 3,88% din PIB-ul României, în scădere față de anii anteriori.</w:t>
      </w:r>
    </w:p>
    <w:p w14:paraId="6353F068">
      <w:pPr>
        <w:tabs>
          <w:tab w:val="left" w:pos="180"/>
          <w:tab w:val="left" w:pos="9180"/>
        </w:tabs>
        <w:spacing w:line="336" w:lineRule="auto"/>
        <w:ind w:firstLine="540"/>
        <w:rPr>
          <w:rFonts w:eastAsia="Times New Roman" w:cs="Arial"/>
          <w:iCs/>
          <w:sz w:val="22"/>
          <w:lang w:eastAsia="ro-RO"/>
        </w:rPr>
      </w:pPr>
      <w:r>
        <w:rPr>
          <w:rFonts w:eastAsia="Times New Roman" w:cs="Arial"/>
          <w:iCs/>
          <w:sz w:val="22"/>
          <w:lang w:eastAsia="ro-RO"/>
        </w:rPr>
        <w:t>Evoluția sectorului agricol: În 2024, sectorul agricol a înregistrat o scădere a valorii adăugate de 10,5% comparativ cu anul precedent, influențată de condiții meteorologice nefavorabile și de provocări structurale.</w:t>
      </w:r>
    </w:p>
    <w:p w14:paraId="2967A111">
      <w:pPr>
        <w:rPr>
          <w:rFonts w:eastAsia="Times New Roman" w:cs="Arial"/>
          <w:iCs/>
          <w:sz w:val="22"/>
          <w:lang w:eastAsia="ro-RO"/>
        </w:rPr>
      </w:pPr>
      <w:r>
        <w:rPr>
          <w:rFonts w:eastAsia="Times New Roman" w:cs="Arial"/>
          <w:iCs/>
          <w:sz w:val="22"/>
          <w:lang w:eastAsia="ro-RO"/>
        </w:rPr>
        <w:t>Conform datelor furnizate de Institutul Național de Statistică (INS), în anul 2024, populația ocupată a României a fost de aproximativ 7.692.600 persoane.</w:t>
      </w:r>
    </w:p>
    <w:p w14:paraId="4ECE8C24">
      <w:pPr>
        <w:tabs>
          <w:tab w:val="left" w:pos="9180"/>
        </w:tabs>
        <w:spacing w:line="336" w:lineRule="auto"/>
        <w:ind w:firstLine="630"/>
        <w:rPr>
          <w:rFonts w:eastAsia="Times New Roman" w:cs="Arial"/>
          <w:iCs/>
          <w:sz w:val="22"/>
          <w:lang w:eastAsia="ro-RO"/>
        </w:rPr>
      </w:pPr>
      <w:r>
        <w:rPr>
          <w:rFonts w:eastAsia="Times New Roman" w:cs="Arial"/>
          <w:iCs/>
          <w:sz w:val="22"/>
          <w:lang w:eastAsia="ro-RO"/>
        </w:rPr>
        <w:t xml:space="preserve">În anul 2024, rata de ocupare a populaţiei în vârstă de 20-64 ani a fost de 69,5%, în creștere faţă de anul anterior cu 0,8 puncte procentuale.(sursa: </w:t>
      </w:r>
      <w:r>
        <w:fldChar w:fldCharType="begin"/>
      </w:r>
      <w:r>
        <w:instrText xml:space="preserve"> HYPERLINK "https://insse.ro/cms/sites/default/files/com_presa/com_pdf/somaj_2024r.pdf" </w:instrText>
      </w:r>
      <w:r>
        <w:fldChar w:fldCharType="separate"/>
      </w:r>
      <w:r>
        <w:rPr>
          <w:rStyle w:val="24"/>
          <w:rFonts w:eastAsia="Times New Roman" w:cs="Arial"/>
          <w:iCs/>
          <w:sz w:val="22"/>
          <w:lang w:eastAsia="ro-RO"/>
        </w:rPr>
        <w:t>https://insse.ro/cms/sites/default/files/com_presa/com_pdf/somaj_2024r.pdf</w:t>
      </w:r>
      <w:r>
        <w:rPr>
          <w:rStyle w:val="24"/>
          <w:rFonts w:eastAsia="Times New Roman" w:cs="Arial"/>
          <w:iCs/>
          <w:sz w:val="22"/>
          <w:lang w:eastAsia="ro-RO"/>
        </w:rPr>
        <w:fldChar w:fldCharType="end"/>
      </w:r>
      <w:r>
        <w:rPr>
          <w:rFonts w:eastAsia="Times New Roman" w:cs="Arial"/>
          <w:iCs/>
          <w:sz w:val="22"/>
          <w:lang w:eastAsia="ro-RO"/>
        </w:rPr>
        <w:t>)</w:t>
      </w:r>
    </w:p>
    <w:p w14:paraId="22E9CD4B">
      <w:pPr>
        <w:tabs>
          <w:tab w:val="left" w:pos="9180"/>
        </w:tabs>
        <w:spacing w:line="336" w:lineRule="auto"/>
        <w:ind w:firstLine="630"/>
        <w:rPr>
          <w:rFonts w:eastAsia="Times New Roman" w:cs="Arial"/>
          <w:iCs/>
          <w:sz w:val="22"/>
          <w:lang w:eastAsia="ro-RO"/>
        </w:rPr>
      </w:pPr>
      <w:r>
        <w:rPr>
          <w:rFonts w:eastAsia="Times New Roman" w:cs="Arial"/>
          <w:iCs/>
          <w:sz w:val="22"/>
          <w:lang w:eastAsia="ro-RO"/>
        </w:rPr>
        <w:t>În anul 2024 populaţia activă a României era de 8304,3 mii persoane, din care 7853,3 mii erau persoane ocupate şi 451,0 mii erau şomeri.</w:t>
      </w:r>
    </w:p>
    <w:p w14:paraId="225F5C9F">
      <w:pPr>
        <w:tabs>
          <w:tab w:val="left" w:pos="9180"/>
        </w:tabs>
        <w:spacing w:line="336" w:lineRule="auto"/>
        <w:ind w:firstLine="630"/>
        <w:rPr>
          <w:rFonts w:eastAsia="Times New Roman" w:cs="Arial"/>
          <w:iCs/>
          <w:sz w:val="22"/>
          <w:lang w:eastAsia="ro-RO"/>
        </w:rPr>
      </w:pPr>
      <w:r>
        <w:rPr>
          <w:rFonts w:eastAsia="Times New Roman" w:cs="Arial"/>
          <w:iCs/>
          <w:sz w:val="22"/>
          <w:lang w:eastAsia="ro-RO"/>
        </w:rPr>
        <w:t>Rata şomajului a fost de 5,4%, valoare mai scăzută decât cea ȋnregistrată ȋn anul precedent cu 0,2 puncte procentuale.</w:t>
      </w:r>
    </w:p>
    <w:p w14:paraId="1CB22BD0">
      <w:pPr>
        <w:tabs>
          <w:tab w:val="left" w:pos="9180"/>
        </w:tabs>
        <w:spacing w:line="336" w:lineRule="auto"/>
        <w:ind w:firstLine="630"/>
        <w:rPr>
          <w:rFonts w:eastAsia="Times New Roman" w:cs="Arial"/>
          <w:iCs/>
          <w:sz w:val="22"/>
          <w:lang w:eastAsia="ro-RO"/>
        </w:rPr>
      </w:pPr>
      <w:r>
        <w:rPr>
          <w:rFonts w:eastAsia="Times New Roman" w:cs="Arial"/>
          <w:iCs/>
          <w:sz w:val="22"/>
          <w:lang w:eastAsia="ro-RO"/>
        </w:rPr>
        <w:cr/>
      </w:r>
    </w:p>
    <w:p w14:paraId="7A479EB4">
      <w:pPr>
        <w:pStyle w:val="14"/>
        <w:rPr>
          <w:sz w:val="22"/>
          <w:szCs w:val="22"/>
        </w:rPr>
      </w:pPr>
      <w:r>
        <w:rPr>
          <w:sz w:val="22"/>
          <w:szCs w:val="22"/>
        </w:rPr>
        <w:t xml:space="preserve">Grafic </w:t>
      </w:r>
      <w:r>
        <w:rPr>
          <w:sz w:val="22"/>
          <w:szCs w:val="22"/>
        </w:rPr>
        <w:fldChar w:fldCharType="begin"/>
      </w:r>
      <w:r>
        <w:rPr>
          <w:sz w:val="22"/>
          <w:szCs w:val="22"/>
        </w:rPr>
        <w:instrText xml:space="preserve"> SEQ Grafic \* ARABIC </w:instrText>
      </w:r>
      <w:r>
        <w:rPr>
          <w:sz w:val="22"/>
          <w:szCs w:val="22"/>
        </w:rPr>
        <w:fldChar w:fldCharType="separate"/>
      </w:r>
      <w:r>
        <w:rPr>
          <w:sz w:val="22"/>
          <w:szCs w:val="22"/>
        </w:rPr>
        <w:t>1</w:t>
      </w:r>
      <w:r>
        <w:rPr>
          <w:sz w:val="22"/>
          <w:szCs w:val="22"/>
        </w:rPr>
        <w:fldChar w:fldCharType="end"/>
      </w:r>
      <w:r>
        <w:rPr>
          <w:sz w:val="22"/>
          <w:szCs w:val="22"/>
        </w:rPr>
        <w:t>. Categorii de populație in anul 2024</w:t>
      </w:r>
    </w:p>
    <w:p w14:paraId="0988212E">
      <w:pPr>
        <w:tabs>
          <w:tab w:val="left" w:pos="9180"/>
        </w:tabs>
        <w:spacing w:line="336" w:lineRule="auto"/>
        <w:ind w:firstLine="630"/>
        <w:jc w:val="center"/>
        <w:rPr>
          <w:rFonts w:eastAsia="Times New Roman" w:cs="Arial"/>
          <w:iCs/>
          <w:sz w:val="22"/>
          <w:lang w:eastAsia="ro-RO"/>
        </w:rPr>
      </w:pPr>
      <w:r>
        <w:rPr>
          <w:rFonts w:eastAsia="Times New Roman" w:cs="Arial"/>
          <w:iCs/>
          <w:sz w:val="22"/>
          <w:lang w:eastAsia="ro-RO"/>
        </w:rPr>
        <w:drawing>
          <wp:inline distT="0" distB="0" distL="0" distR="0">
            <wp:extent cx="5915660" cy="3609975"/>
            <wp:effectExtent l="0" t="0" r="8890" b="9525"/>
            <wp:docPr id="77503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1037" name="Picture 1"/>
                    <pic:cNvPicPr>
                      <a:picLocks noChangeAspect="1"/>
                    </pic:cNvPicPr>
                  </pic:nvPicPr>
                  <pic:blipFill>
                    <a:blip r:embed="rId9"/>
                    <a:stretch>
                      <a:fillRect/>
                    </a:stretch>
                  </pic:blipFill>
                  <pic:spPr>
                    <a:xfrm>
                      <a:off x="0" y="0"/>
                      <a:ext cx="5915851" cy="3610479"/>
                    </a:xfrm>
                    <a:prstGeom prst="rect">
                      <a:avLst/>
                    </a:prstGeom>
                  </pic:spPr>
                </pic:pic>
              </a:graphicData>
            </a:graphic>
          </wp:inline>
        </w:drawing>
      </w:r>
    </w:p>
    <w:p w14:paraId="557B6A80">
      <w:pPr>
        <w:tabs>
          <w:tab w:val="left" w:pos="9180"/>
        </w:tabs>
        <w:spacing w:line="336" w:lineRule="auto"/>
        <w:ind w:firstLine="630"/>
        <w:jc w:val="center"/>
        <w:rPr>
          <w:rFonts w:eastAsia="Times New Roman" w:cs="Arial"/>
          <w:iCs/>
          <w:sz w:val="22"/>
          <w:lang w:eastAsia="ro-RO"/>
        </w:rPr>
      </w:pPr>
      <w:r>
        <w:rPr>
          <w:rFonts w:eastAsia="Times New Roman" w:cs="Arial"/>
          <w:iCs/>
          <w:sz w:val="22"/>
          <w:lang w:eastAsia="ro-RO"/>
        </w:rPr>
        <w:t xml:space="preserve">Sursa: </w:t>
      </w:r>
      <w:r>
        <w:fldChar w:fldCharType="begin"/>
      </w:r>
      <w:r>
        <w:instrText xml:space="preserve"> HYPERLINK "https://insse.ro/cms/sites/default/files/com_presa/com_pdf/somaj_2024r.pdf" </w:instrText>
      </w:r>
      <w:r>
        <w:fldChar w:fldCharType="separate"/>
      </w:r>
      <w:r>
        <w:rPr>
          <w:rStyle w:val="24"/>
          <w:rFonts w:eastAsia="Times New Roman" w:cs="Arial"/>
          <w:iCs/>
          <w:sz w:val="22"/>
          <w:lang w:eastAsia="ro-RO"/>
        </w:rPr>
        <w:t>https://insse.ro/cms/sites/default/files/com_presa/com_pdf/somaj_2024r.pdf</w:t>
      </w:r>
      <w:r>
        <w:rPr>
          <w:rStyle w:val="24"/>
          <w:rFonts w:eastAsia="Times New Roman" w:cs="Arial"/>
          <w:iCs/>
          <w:sz w:val="22"/>
          <w:lang w:eastAsia="ro-RO"/>
        </w:rPr>
        <w:fldChar w:fldCharType="end"/>
      </w:r>
    </w:p>
    <w:p w14:paraId="75E42CE2">
      <w:pPr>
        <w:tabs>
          <w:tab w:val="left" w:pos="9180"/>
        </w:tabs>
        <w:spacing w:line="336" w:lineRule="auto"/>
        <w:ind w:firstLine="630"/>
        <w:jc w:val="center"/>
        <w:rPr>
          <w:rFonts w:cs="Arial"/>
          <w:sz w:val="22"/>
        </w:rPr>
      </w:pPr>
    </w:p>
    <w:p w14:paraId="4FBBCA24">
      <w:pPr>
        <w:tabs>
          <w:tab w:val="left" w:pos="9180"/>
        </w:tabs>
        <w:spacing w:line="336" w:lineRule="auto"/>
        <w:ind w:firstLine="630"/>
        <w:jc w:val="left"/>
        <w:rPr>
          <w:rFonts w:cs="Arial"/>
          <w:sz w:val="22"/>
        </w:rPr>
      </w:pPr>
      <w:r>
        <w:rPr>
          <w:rFonts w:cs="Arial"/>
          <w:sz w:val="22"/>
        </w:rPr>
        <w:t>În anul 2024, rata de ocupare a populaţiei în vârstă de muncă (15-64 ani) a fost de 63,8%, în creștere faţă de anul anterior cu 0,8 puncte procentuale. Ca şi în anii anteriori, rata de ocupare a fost mai mare la bărbaţi (72,0%, faţă de 55,3% la femei). Pe medii de rezidență, rata de ocupare a fost mai mare în mediul urban (69,8%, faţă de 57,0% în mediul rural).</w:t>
      </w:r>
    </w:p>
    <w:p w14:paraId="4810F679">
      <w:pPr>
        <w:tabs>
          <w:tab w:val="left" w:pos="9180"/>
        </w:tabs>
        <w:spacing w:line="336" w:lineRule="auto"/>
        <w:ind w:firstLine="630"/>
        <w:jc w:val="left"/>
        <w:rPr>
          <w:rFonts w:cs="Arial"/>
          <w:sz w:val="22"/>
        </w:rPr>
      </w:pPr>
      <w:r>
        <w:rPr>
          <w:rFonts w:cs="Arial"/>
          <w:sz w:val="22"/>
        </w:rPr>
        <w:t>Rata de ocupare a tinerilor (15-24 ani) a fost de 19,2%, iar cea a persoanelor vârstnice (55-64 ani) de 53,4%.</w:t>
      </w:r>
    </w:p>
    <w:p w14:paraId="53430870">
      <w:pPr>
        <w:pStyle w:val="14"/>
        <w:rPr>
          <w:iCs/>
          <w:sz w:val="22"/>
          <w:szCs w:val="22"/>
        </w:rPr>
      </w:pPr>
      <w:r>
        <w:rPr>
          <w:sz w:val="22"/>
          <w:szCs w:val="22"/>
        </w:rPr>
        <w:t xml:space="preserve">Grafic </w:t>
      </w:r>
      <w:r>
        <w:rPr>
          <w:sz w:val="22"/>
          <w:szCs w:val="22"/>
        </w:rPr>
        <w:fldChar w:fldCharType="begin"/>
      </w:r>
      <w:r>
        <w:rPr>
          <w:sz w:val="22"/>
          <w:szCs w:val="22"/>
        </w:rPr>
        <w:instrText xml:space="preserve"> SEQ Grafic \* ARABIC </w:instrText>
      </w:r>
      <w:r>
        <w:rPr>
          <w:sz w:val="22"/>
          <w:szCs w:val="22"/>
        </w:rPr>
        <w:fldChar w:fldCharType="separate"/>
      </w:r>
      <w:r>
        <w:rPr>
          <w:sz w:val="22"/>
          <w:szCs w:val="22"/>
        </w:rPr>
        <w:t>2</w:t>
      </w:r>
      <w:r>
        <w:rPr>
          <w:sz w:val="22"/>
          <w:szCs w:val="22"/>
        </w:rPr>
        <w:fldChar w:fldCharType="end"/>
      </w:r>
      <w:r>
        <w:rPr>
          <w:sz w:val="22"/>
          <w:szCs w:val="22"/>
        </w:rPr>
        <w:t xml:space="preserve">. </w:t>
      </w:r>
      <w:r>
        <w:rPr>
          <w:iCs/>
          <w:sz w:val="22"/>
          <w:szCs w:val="22"/>
        </w:rPr>
        <w:t>Rata şomajului pe grupe de vârstă, sexe şi medii de rezidență, în anul 2024.</w:t>
      </w:r>
    </w:p>
    <w:p w14:paraId="59876B10">
      <w:pPr>
        <w:pStyle w:val="14"/>
        <w:jc w:val="both"/>
        <w:rPr>
          <w:sz w:val="22"/>
          <w:szCs w:val="22"/>
        </w:rPr>
      </w:pPr>
    </w:p>
    <w:p w14:paraId="1AF6B241">
      <w:pPr>
        <w:tabs>
          <w:tab w:val="left" w:pos="9180"/>
        </w:tabs>
        <w:spacing w:line="336" w:lineRule="auto"/>
        <w:ind w:firstLine="630"/>
        <w:rPr>
          <w:rFonts w:eastAsia="Times New Roman" w:cs="Arial"/>
          <w:iCs/>
          <w:sz w:val="22"/>
          <w:lang w:val="ro-RO" w:eastAsia="ro-RO"/>
        </w:rPr>
      </w:pPr>
      <w:r>
        <w:rPr>
          <w:rFonts w:eastAsia="Times New Roman" w:cs="Arial"/>
          <w:iCs/>
          <w:sz w:val="22"/>
          <w:lang w:val="ro-RO" w:eastAsia="ro-RO"/>
        </w:rPr>
        <w:drawing>
          <wp:inline distT="0" distB="0" distL="0" distR="0">
            <wp:extent cx="5934710" cy="2657475"/>
            <wp:effectExtent l="0" t="0" r="8890" b="9525"/>
            <wp:docPr id="135417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6268" name="Picture 1"/>
                    <pic:cNvPicPr>
                      <a:picLocks noChangeAspect="1"/>
                    </pic:cNvPicPr>
                  </pic:nvPicPr>
                  <pic:blipFill>
                    <a:blip r:embed="rId10"/>
                    <a:stretch>
                      <a:fillRect/>
                    </a:stretch>
                  </pic:blipFill>
                  <pic:spPr>
                    <a:xfrm>
                      <a:off x="0" y="0"/>
                      <a:ext cx="5934903" cy="2657846"/>
                    </a:xfrm>
                    <a:prstGeom prst="rect">
                      <a:avLst/>
                    </a:prstGeom>
                  </pic:spPr>
                </pic:pic>
              </a:graphicData>
            </a:graphic>
          </wp:inline>
        </w:drawing>
      </w:r>
    </w:p>
    <w:p w14:paraId="6FA0DDB9">
      <w:pPr>
        <w:tabs>
          <w:tab w:val="left" w:pos="9180"/>
        </w:tabs>
        <w:spacing w:line="336" w:lineRule="auto"/>
        <w:ind w:firstLine="630"/>
        <w:jc w:val="center"/>
        <w:rPr>
          <w:rFonts w:eastAsia="Times New Roman" w:cs="Arial"/>
          <w:iCs/>
          <w:sz w:val="22"/>
          <w:lang w:val="ro-RO" w:eastAsia="ro-RO"/>
        </w:rPr>
      </w:pPr>
      <w:r>
        <w:rPr>
          <w:rFonts w:eastAsia="Times New Roman" w:cs="Arial"/>
          <w:iCs/>
          <w:sz w:val="22"/>
          <w:lang w:val="ro-RO" w:eastAsia="ro-RO"/>
        </w:rPr>
        <w:t xml:space="preserve">Sursa: </w:t>
      </w:r>
      <w:r>
        <w:fldChar w:fldCharType="begin"/>
      </w:r>
      <w:r>
        <w:instrText xml:space="preserve"> HYPERLINK "https://insse.ro/cms/sites/default/files/com_presa/com_pdf/somaj_2024r.pdf" </w:instrText>
      </w:r>
      <w:r>
        <w:fldChar w:fldCharType="separate"/>
      </w:r>
      <w:r>
        <w:rPr>
          <w:rStyle w:val="24"/>
          <w:rFonts w:eastAsia="Times New Roman" w:cs="Arial"/>
          <w:iCs/>
          <w:sz w:val="22"/>
          <w:lang w:val="ro-RO" w:eastAsia="ro-RO"/>
        </w:rPr>
        <w:t>https://insse.ro/cms/sites/default/files/com_presa/com_pdf/somaj_2024r.pdf</w:t>
      </w:r>
      <w:r>
        <w:rPr>
          <w:rStyle w:val="24"/>
          <w:rFonts w:eastAsia="Times New Roman" w:cs="Arial"/>
          <w:iCs/>
          <w:sz w:val="22"/>
          <w:lang w:val="ro-RO" w:eastAsia="ro-RO"/>
        </w:rPr>
        <w:fldChar w:fldCharType="end"/>
      </w:r>
      <w:r>
        <w:rPr>
          <w:rFonts w:eastAsia="Times New Roman" w:cs="Arial"/>
          <w:iCs/>
          <w:sz w:val="22"/>
          <w:lang w:val="ro-RO" w:eastAsia="ro-RO"/>
        </w:rPr>
        <w:t xml:space="preserve"> - Comunicat de presă</w:t>
      </w:r>
    </w:p>
    <w:p w14:paraId="4DCC4E1B">
      <w:pPr>
        <w:tabs>
          <w:tab w:val="left" w:pos="9180"/>
        </w:tabs>
        <w:spacing w:line="336" w:lineRule="auto"/>
        <w:ind w:firstLine="630"/>
        <w:rPr>
          <w:rFonts w:eastAsia="Times New Roman" w:cs="Arial"/>
          <w:iCs/>
          <w:sz w:val="22"/>
          <w:lang w:val="ro-RO" w:eastAsia="ro-RO"/>
        </w:rPr>
      </w:pPr>
      <w:r>
        <w:rPr>
          <w:rFonts w:eastAsia="Times New Roman" w:cs="Arial"/>
          <w:iCs/>
          <w:sz w:val="22"/>
          <w:lang w:val="ro-RO" w:eastAsia="ro-RO"/>
        </w:rPr>
        <w:cr/>
      </w:r>
      <w:r>
        <w:rPr>
          <w:rFonts w:eastAsia="Times New Roman" w:cs="Arial"/>
          <w:iCs/>
          <w:sz w:val="22"/>
          <w:lang w:val="ro-RO" w:eastAsia="ro-RO"/>
        </w:rPr>
        <w:t>Evoluţia demografică din mediul rural din Romania, a cunoscut în ultimul timp o dinamică diferită, atât datorită tendinţelor societăţii de moderni</w:t>
      </w:r>
      <w:r>
        <w:rPr>
          <w:rFonts w:eastAsia="Times New Roman" w:cs="Arial"/>
          <w:iCs/>
          <w:sz w:val="22"/>
          <w:lang w:eastAsia="ro-RO"/>
        </w:rPr>
        <w:t>z</w:t>
      </w:r>
      <w:r>
        <w:rPr>
          <w:rFonts w:eastAsia="Times New Roman" w:cs="Arial"/>
          <w:iCs/>
          <w:sz w:val="22"/>
          <w:lang w:val="ro-RO" w:eastAsia="ro-RO"/>
        </w:rPr>
        <w:t>are cât şi tendinţelor din perioada anterioară sau datorită impactului noilor factori economici sociali şi politici.</w:t>
      </w:r>
    </w:p>
    <w:p w14:paraId="5B77AE88">
      <w:pPr>
        <w:tabs>
          <w:tab w:val="left" w:pos="9180"/>
        </w:tabs>
        <w:spacing w:line="336" w:lineRule="auto"/>
        <w:ind w:firstLine="630"/>
        <w:rPr>
          <w:rFonts w:eastAsia="Times New Roman" w:cs="Arial"/>
          <w:iCs/>
          <w:sz w:val="22"/>
          <w:lang w:val="ro-RO" w:eastAsia="ro-RO"/>
        </w:rPr>
      </w:pPr>
      <w:r>
        <w:rPr>
          <w:rFonts w:eastAsia="Times New Roman" w:cs="Arial"/>
          <w:iCs/>
          <w:sz w:val="22"/>
          <w:lang w:val="ro-RO" w:eastAsia="ro-RO"/>
        </w:rPr>
        <w:t xml:space="preserve">Conform Comunicatului de presă pus la dispoziție de Institutul Național de Statistică (Sursa: </w:t>
      </w:r>
      <w:r>
        <w:fldChar w:fldCharType="begin"/>
      </w:r>
      <w:r>
        <w:instrText xml:space="preserve"> HYPERLINK "https://insse.ro/cms/sites/default/files/com_presa/com_pdf/popdom1ian2025r.pdf0" </w:instrText>
      </w:r>
      <w:r>
        <w:fldChar w:fldCharType="separate"/>
      </w:r>
      <w:r>
        <w:rPr>
          <w:rStyle w:val="24"/>
          <w:rFonts w:eastAsia="Times New Roman" w:cs="Arial"/>
          <w:iCs/>
          <w:sz w:val="22"/>
          <w:lang w:val="ro-RO" w:eastAsia="ro-RO"/>
        </w:rPr>
        <w:t>https://insse.ro/cms/sites/default/files/com_presa/com_pdf/popdom1ian2025r.pdf0</w:t>
      </w:r>
      <w:r>
        <w:rPr>
          <w:rStyle w:val="24"/>
          <w:rFonts w:eastAsia="Times New Roman" w:cs="Arial"/>
          <w:iCs/>
          <w:sz w:val="22"/>
          <w:lang w:val="ro-RO" w:eastAsia="ro-RO"/>
        </w:rPr>
        <w:fldChar w:fldCharType="end"/>
      </w:r>
    </w:p>
    <w:p w14:paraId="46F075A8">
      <w:pPr>
        <w:tabs>
          <w:tab w:val="left" w:pos="9180"/>
        </w:tabs>
        <w:spacing w:line="336" w:lineRule="auto"/>
        <w:ind w:firstLine="630"/>
        <w:rPr>
          <w:rFonts w:eastAsia="Times New Roman" w:cs="Arial"/>
          <w:iCs/>
          <w:sz w:val="22"/>
          <w:lang w:val="ro-RO" w:eastAsia="ro-RO"/>
        </w:rPr>
      </w:pPr>
      <w:r>
        <w:rPr>
          <w:rFonts w:eastAsia="Times New Roman" w:cs="Arial"/>
          <w:iCs/>
          <w:sz w:val="22"/>
          <w:lang w:val="ro-RO" w:eastAsia="ro-RO"/>
        </w:rPr>
        <w:t>Populaţia după domiciliu* la 1 ianuarie 2025 a ajuns la 21 739,4 mii persoane.</w:t>
      </w:r>
    </w:p>
    <w:p w14:paraId="0E3ACAF9">
      <w:pPr>
        <w:tabs>
          <w:tab w:val="left" w:pos="9180"/>
        </w:tabs>
        <w:spacing w:line="336" w:lineRule="auto"/>
        <w:ind w:firstLine="0"/>
        <w:rPr>
          <w:rFonts w:eastAsia="Times New Roman" w:cs="Arial"/>
          <w:iCs/>
          <w:sz w:val="22"/>
          <w:lang w:val="ro-RO" w:eastAsia="ro-RO"/>
        </w:rPr>
      </w:pPr>
      <w:r>
        <w:rPr>
          <w:rFonts w:eastAsia="Times New Roman" w:cs="Arial"/>
          <w:iCs/>
          <w:sz w:val="22"/>
          <w:lang w:val="ro-RO" w:eastAsia="ro-RO"/>
        </w:rPr>
        <w:t>La 1 ianuarie 2025, populația după domiciliu din mediul urban a fost de 12051,7 mii persoane, în scădere față 1 ianuarie 2024 (1,2%); cea din mediul rural a fost de 9687,7 mii persoane, în creștere ușoară față 1 ianuarie 2024 (0,4%).</w:t>
      </w:r>
    </w:p>
    <w:p w14:paraId="39900A86">
      <w:pPr>
        <w:tabs>
          <w:tab w:val="left" w:pos="9180"/>
        </w:tabs>
        <w:spacing w:line="336" w:lineRule="auto"/>
        <w:rPr>
          <w:rFonts w:eastAsia="Times New Roman" w:cs="Arial"/>
          <w:iCs/>
          <w:sz w:val="22"/>
          <w:lang w:val="ro-RO" w:eastAsia="ro-RO"/>
        </w:rPr>
      </w:pPr>
      <w:r>
        <w:rPr>
          <w:rFonts w:eastAsia="Times New Roman" w:cs="Arial"/>
          <w:iCs/>
          <w:sz w:val="22"/>
          <w:lang w:val="ro-RO" w:eastAsia="ro-RO"/>
        </w:rPr>
        <w:t>Procesul de îmbătrânire demografică a continuat în anul 2024, remarcându-se o scădere ușoară (de 0,3 puncte procentuale) a ponderii persoanelor tinere (0-14 ani) şi în acelaşi timp o creștere (de 0,4 puncte procentuale) a ponderii populaţiei vârstnice (de 65 ani și peste) în totalul populației.</w:t>
      </w:r>
    </w:p>
    <w:p w14:paraId="544EA15E">
      <w:pPr>
        <w:tabs>
          <w:tab w:val="left" w:pos="9180"/>
        </w:tabs>
        <w:spacing w:line="336" w:lineRule="auto"/>
        <w:rPr>
          <w:rFonts w:eastAsia="Times New Roman" w:cs="Arial"/>
          <w:bCs/>
          <w:iCs/>
          <w:sz w:val="22"/>
          <w:lang w:eastAsia="ro-RO"/>
        </w:rPr>
      </w:pPr>
      <w:r>
        <w:rPr>
          <w:rFonts w:eastAsia="Times New Roman" w:cs="Arial"/>
          <w:bCs/>
          <w:iCs/>
          <w:sz w:val="22"/>
          <w:lang w:eastAsia="ro-RO"/>
        </w:rPr>
        <w:t>Indicele de îmbătrânire demografică a crescut de la 126,8 la 1 ianuarie 2024 la 132,4 persoane vârstnice la 100 persoane tinere la 1 ianuarie 2025.</w:t>
      </w:r>
    </w:p>
    <w:p w14:paraId="3440D9B8">
      <w:pPr>
        <w:tabs>
          <w:tab w:val="left" w:pos="9180"/>
        </w:tabs>
        <w:spacing w:line="336" w:lineRule="auto"/>
        <w:rPr>
          <w:rFonts w:eastAsia="Times New Roman" w:cs="Arial"/>
          <w:bCs/>
          <w:iCs/>
          <w:sz w:val="22"/>
          <w:lang w:eastAsia="ro-RO"/>
        </w:rPr>
      </w:pPr>
      <w:r>
        <w:rPr>
          <w:rFonts w:eastAsia="Times New Roman" w:cs="Arial"/>
          <w:bCs/>
          <w:iCs/>
          <w:sz w:val="22"/>
          <w:lang w:eastAsia="ro-RO"/>
        </w:rPr>
        <w:t>Vârsta medie a populaţiei a fost de 42,9 ani, cu 0,4 ani mai mare decât la 1 ianuarie 2024. Vârsta mediană a fost de 43,7 ani, în creștere cu 0,5 ani față de 1 ianuarie 2024.</w:t>
      </w:r>
      <w:r>
        <w:rPr>
          <w:rFonts w:eastAsia="Times New Roman" w:cs="Arial"/>
          <w:bCs/>
          <w:iCs/>
          <w:sz w:val="22"/>
          <w:lang w:eastAsia="ro-RO"/>
        </w:rPr>
        <w:cr/>
      </w:r>
    </w:p>
    <w:p w14:paraId="04147513">
      <w:pPr>
        <w:tabs>
          <w:tab w:val="left" w:pos="9180"/>
        </w:tabs>
        <w:spacing w:line="336" w:lineRule="auto"/>
        <w:rPr>
          <w:rFonts w:eastAsia="Times New Roman" w:cs="Arial"/>
          <w:bCs/>
          <w:iCs/>
          <w:sz w:val="22"/>
          <w:lang w:eastAsia="ro-RO"/>
        </w:rPr>
      </w:pPr>
      <w:r>
        <w:rPr>
          <w:rFonts w:eastAsia="Times New Roman" w:cs="Arial"/>
          <w:bCs/>
          <w:iCs/>
          <w:sz w:val="22"/>
          <w:lang w:eastAsia="ro-RO"/>
        </w:rPr>
        <w:t>Migraţia</w:t>
      </w:r>
    </w:p>
    <w:p w14:paraId="1FDC1F23">
      <w:pPr>
        <w:tabs>
          <w:tab w:val="left" w:pos="9180"/>
        </w:tabs>
        <w:spacing w:line="336" w:lineRule="auto"/>
        <w:rPr>
          <w:rFonts w:eastAsia="Times New Roman" w:cs="Arial"/>
          <w:iCs/>
          <w:sz w:val="22"/>
          <w:lang w:eastAsia="ro-RO"/>
        </w:rPr>
      </w:pPr>
      <w:r>
        <w:rPr>
          <w:rFonts w:eastAsia="Times New Roman" w:cs="Arial"/>
          <w:bCs/>
          <w:iCs/>
          <w:sz w:val="22"/>
          <w:lang w:eastAsia="ro-RO"/>
        </w:rPr>
        <w:t>Fluctuaţiile la nivelul evoluţiei populaţiei sunt o consecinţa a migraţiei</w:t>
      </w:r>
      <w:r>
        <w:rPr>
          <w:rFonts w:eastAsia="Times New Roman" w:cs="Arial"/>
          <w:iCs/>
          <w:sz w:val="22"/>
          <w:lang w:eastAsia="ro-RO"/>
        </w:rPr>
        <w:t>, în special a tinerilor apţi de muncă, spre mediul urban, în căutarea unor locuri de muncă mai bune şi a unui mod de viaţă mai atractiv.</w:t>
      </w:r>
    </w:p>
    <w:p w14:paraId="5AA35542">
      <w:pPr>
        <w:tabs>
          <w:tab w:val="left" w:pos="9180"/>
        </w:tabs>
        <w:spacing w:line="336" w:lineRule="auto"/>
        <w:rPr>
          <w:rFonts w:eastAsia="Times New Roman" w:cs="Arial"/>
          <w:iCs/>
          <w:sz w:val="22"/>
          <w:lang w:val="ro-RO" w:eastAsia="ro-RO"/>
        </w:rPr>
      </w:pPr>
      <w:r>
        <w:rPr>
          <w:rFonts w:eastAsia="Times New Roman" w:cs="Arial"/>
          <w:bCs/>
          <w:iCs/>
          <w:sz w:val="22"/>
          <w:lang w:eastAsia="ro-RO"/>
        </w:rPr>
        <w:t>Migraţia externă</w:t>
      </w:r>
      <w:r>
        <w:rPr>
          <w:rFonts w:eastAsia="Times New Roman" w:cs="Arial"/>
          <w:b/>
          <w:bCs/>
          <w:iCs/>
          <w:sz w:val="22"/>
          <w:lang w:eastAsia="ro-RO"/>
        </w:rPr>
        <w:t xml:space="preserve"> </w:t>
      </w:r>
      <w:r>
        <w:rPr>
          <w:rFonts w:eastAsia="Times New Roman" w:cs="Arial"/>
          <w:iCs/>
          <w:sz w:val="22"/>
          <w:lang w:eastAsia="ro-RO"/>
        </w:rPr>
        <w:t>prez</w:t>
      </w:r>
      <w:r>
        <w:rPr>
          <w:rFonts w:eastAsia="Times New Roman" w:cs="Arial"/>
          <w:iCs/>
          <w:sz w:val="22"/>
          <w:lang w:val="ro-RO" w:eastAsia="ro-RO"/>
        </w:rPr>
        <w:t>intă o importanţă deosebită pentru România şi are efecte po</w:t>
      </w:r>
      <w:r>
        <w:rPr>
          <w:rFonts w:eastAsia="Times New Roman" w:cs="Arial"/>
          <w:iCs/>
          <w:sz w:val="22"/>
          <w:lang w:eastAsia="ro-RO"/>
        </w:rPr>
        <w:t>z</w:t>
      </w:r>
      <w:r>
        <w:rPr>
          <w:rFonts w:eastAsia="Times New Roman" w:cs="Arial"/>
          <w:iCs/>
          <w:sz w:val="22"/>
          <w:lang w:val="ro-RO" w:eastAsia="ro-RO"/>
        </w:rPr>
        <w:t xml:space="preserve">itive la nivel economic şi social datorită resurselor financiare importante aduse în ţară de către emigranţi. </w:t>
      </w:r>
    </w:p>
    <w:p w14:paraId="470AB31F">
      <w:pPr>
        <w:tabs>
          <w:tab w:val="left" w:pos="9180"/>
        </w:tabs>
        <w:spacing w:line="336" w:lineRule="auto"/>
        <w:rPr>
          <w:rFonts w:eastAsia="Times New Roman" w:cs="Arial"/>
          <w:iCs/>
          <w:sz w:val="22"/>
          <w:lang w:val="ro-RO" w:eastAsia="ro-RO"/>
        </w:rPr>
      </w:pPr>
      <w:r>
        <w:rPr>
          <w:rFonts w:eastAsia="Times New Roman" w:cs="Arial"/>
          <w:iCs/>
          <w:sz w:val="22"/>
          <w:lang w:val="ro-RO" w:eastAsia="ro-RO"/>
        </w:rPr>
        <w:t>Astfel de contribuţii sunt deosebit de importante pentru economia rurală, emigrarea ajutând totodată, la schimbarea mentalităţii şi a deschiderii spre moderni</w:t>
      </w:r>
      <w:r>
        <w:rPr>
          <w:rFonts w:eastAsia="Times New Roman" w:cs="Arial"/>
          <w:iCs/>
          <w:sz w:val="22"/>
          <w:lang w:eastAsia="ro-RO"/>
        </w:rPr>
        <w:t>z</w:t>
      </w:r>
      <w:r>
        <w:rPr>
          <w:rFonts w:eastAsia="Times New Roman" w:cs="Arial"/>
          <w:iCs/>
          <w:sz w:val="22"/>
          <w:lang w:val="ro-RO" w:eastAsia="ro-RO"/>
        </w:rPr>
        <w:t>are.</w:t>
      </w:r>
    </w:p>
    <w:p w14:paraId="43E4A457">
      <w:pPr>
        <w:ind w:right="357" w:firstLine="0"/>
        <w:rPr>
          <w:rFonts w:eastAsia="Times New Roman" w:cs="Arial"/>
          <w:b/>
          <w:bCs/>
          <w:iCs/>
          <w:sz w:val="22"/>
          <w:u w:val="single"/>
          <w:lang w:val="ro-RO" w:eastAsia="ro-RO"/>
        </w:rPr>
      </w:pPr>
    </w:p>
    <w:p w14:paraId="44CA16CA">
      <w:pPr>
        <w:ind w:left="437" w:right="357" w:firstLine="0"/>
        <w:rPr>
          <w:rFonts w:eastAsia="Times New Roman" w:cs="Arial"/>
          <w:b/>
          <w:bCs/>
          <w:iCs/>
          <w:sz w:val="22"/>
          <w:u w:val="single"/>
          <w:lang w:val="ro-RO" w:eastAsia="ro-RO"/>
        </w:rPr>
      </w:pPr>
      <w:r>
        <w:rPr>
          <w:rFonts w:eastAsia="Times New Roman" w:cs="Arial"/>
          <w:b/>
          <w:bCs/>
          <w:iCs/>
          <w:sz w:val="22"/>
          <w:u w:val="single"/>
          <w:lang w:val="ro-RO" w:eastAsia="ro-RO"/>
        </w:rPr>
        <w:t>CONCEPTE DE BAZĂ</w:t>
      </w:r>
    </w:p>
    <w:p w14:paraId="271F6E97">
      <w:pPr>
        <w:ind w:left="437" w:right="357" w:firstLine="0"/>
        <w:rPr>
          <w:rFonts w:eastAsia="Times New Roman" w:cs="Arial"/>
          <w:b/>
          <w:bCs/>
          <w:iCs/>
          <w:sz w:val="22"/>
          <w:u w:val="single"/>
          <w:lang w:val="ro-RO" w:eastAsia="ro-RO"/>
        </w:rPr>
      </w:pPr>
    </w:p>
    <w:p w14:paraId="7E880DC8">
      <w:pPr>
        <w:ind w:left="437" w:right="357" w:firstLine="0"/>
        <w:rPr>
          <w:rFonts w:eastAsia="Times New Roman" w:cs="Arial"/>
          <w:b/>
          <w:bCs/>
          <w:iCs/>
          <w:sz w:val="22"/>
          <w:u w:val="single"/>
          <w:lang w:val="ro-RO" w:eastAsia="ro-RO"/>
        </w:rPr>
      </w:pPr>
      <w:r>
        <w:rPr>
          <w:rFonts w:eastAsia="Times New Roman" w:cs="Arial"/>
          <w:b/>
          <w:bCs/>
          <w:iCs/>
          <w:sz w:val="22"/>
          <w:u w:val="single"/>
          <w:lang w:val="ro-RO" w:eastAsia="ro-RO"/>
        </w:rPr>
        <w:t>1. Dezvoltarea durabilă</w:t>
      </w:r>
    </w:p>
    <w:p w14:paraId="4485B0BC">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Dezvoltarea durabilă este unul dintre cele mai vehiculate concepte în ultimii ani. Sintagma este folosită în întreaga lume de către politicieni, oameni de ştiinţă, conducători de afaceri sau reprezentanţi ai organizaţiilor non-profit. Cu toate acestea, întreaga semnificaţie a conceptului scapă multora dintre cei care ar trebui să contribuie la punerea lui în aplicare. </w:t>
      </w:r>
    </w:p>
    <w:p w14:paraId="57D9F888">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Creşterea reprezintă principiul pe care statele lumii şi-au bazat cu preponderenţă organizarea în ultimii peste o sută de ani. Activitatea umană s-a extins continuu, creşterea economică a devenit scopul fiecărei societăţi, fie ea bogată sau săracă. Oamenii se străduiesc să-şi crească nivelul de trai, politicienii promit o creştere mai rapidă, performanţa firmelor este apreciată după viteza lor de creştere. Există însă factori care limitează posibilităţile de creştere economică, unul dintre cei mai importanţi fiind degradarea mediului înconjurător, având ca efect direct diminuarea resurselor naturale şi diminuarea calităţii vieţii. </w:t>
      </w:r>
    </w:p>
    <w:p w14:paraId="60206A3F">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Măsurile succesului economic folosite în mod tradiţional, cum ar fi produsul intern brut sau indicele preţurilor de consum, încurajează consumul, risipa, şi utilizarea iraţională a resurselor în vederea creării de noi locuri de muncă. Preţurile bunurilor şi serviciilor determină profitul producătorilor şi comercianţilor, profitul astfel rezultat nereflectând însă costurile sociale, de mediu sau de sănătate pe care trebuie să le suporte societatea. </w:t>
      </w:r>
    </w:p>
    <w:p w14:paraId="5698E1DB">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Recunoaşterea existenţei limitelor creşterii necesită reorientarea modului de gândire şi acţiune, la toate nivelurile activităţii umane, dinspre o abordare </w:t>
      </w:r>
      <w:r>
        <w:rPr>
          <w:rFonts w:eastAsia="Times New Roman" w:cs="Arial"/>
          <w:bCs/>
          <w:iCs/>
          <w:sz w:val="22"/>
          <w:lang w:val="ro-RO" w:eastAsia="ro-RO"/>
        </w:rPr>
        <w:t>cantitativă</w:t>
      </w:r>
      <w:r>
        <w:rPr>
          <w:rFonts w:eastAsia="Times New Roman" w:cs="Arial"/>
          <w:b/>
          <w:bCs/>
          <w:iCs/>
          <w:sz w:val="22"/>
          <w:lang w:val="ro-RO" w:eastAsia="ro-RO"/>
        </w:rPr>
        <w:t xml:space="preserve"> </w:t>
      </w:r>
      <w:r>
        <w:rPr>
          <w:rFonts w:eastAsia="Times New Roman" w:cs="Arial"/>
          <w:iCs/>
          <w:sz w:val="22"/>
          <w:lang w:val="ro-RO" w:eastAsia="ro-RO"/>
        </w:rPr>
        <w:t xml:space="preserve">(reprezentată de creştere) către una </w:t>
      </w:r>
      <w:r>
        <w:rPr>
          <w:rFonts w:eastAsia="Times New Roman" w:cs="Arial"/>
          <w:bCs/>
          <w:iCs/>
          <w:sz w:val="22"/>
          <w:lang w:val="ro-RO" w:eastAsia="ro-RO"/>
        </w:rPr>
        <w:t>calitativă</w:t>
      </w:r>
      <w:r>
        <w:rPr>
          <w:rFonts w:eastAsia="Times New Roman" w:cs="Arial"/>
          <w:iCs/>
          <w:sz w:val="22"/>
          <w:lang w:val="ro-RO" w:eastAsia="ro-RO"/>
        </w:rPr>
        <w:t xml:space="preserve">, definitã de termenul de dezvoltare durabilă. Într-o societate durabilă vom avea de-a face cu o dezvoltare, o îmbunătăţire calitativă adusă factorului uman şi valorii adăugate prin utilizarea resurselor, în loc să asistăm la o creştere cantitativă a activităţilor mari consumatoare de resurse şi energie. </w:t>
      </w:r>
    </w:p>
    <w:p w14:paraId="421D68C6">
      <w:pPr>
        <w:tabs>
          <w:tab w:val="left" w:pos="9180"/>
        </w:tabs>
        <w:spacing w:line="336" w:lineRule="auto"/>
        <w:rPr>
          <w:rFonts w:eastAsia="Times New Roman" w:cs="Arial"/>
          <w:iCs/>
          <w:sz w:val="22"/>
          <w:lang w:val="ro-RO" w:eastAsia="ro-RO"/>
        </w:rPr>
      </w:pPr>
      <w:r>
        <w:rPr>
          <w:rFonts w:eastAsia="Times New Roman" w:cs="Arial"/>
          <w:iCs/>
          <w:sz w:val="22"/>
          <w:lang w:val="ro-RO" w:eastAsia="ro-RO"/>
        </w:rPr>
        <w:t>Pe plan internaţional, se resimte necesitatea contabilizării tuturor costurilor activităţilor economice, a utilizării unor indicatori macroeconomici care să reflecte în mod real nivelul bunăstării sociale (cum ar fi indicele bunăstării economice durabile) şi a aplicării unui sistem de taxe care să descurajeze acţiunile nedorite (consumul de resurse şi energie) în locul celor de dorit (crearea de locuri de muncă şi investiţiile). Totuşi, contabilitatea resurselor naturale şi produsul intern brut „verde“ - sisteme naţionale alternative de contabilitate şi măsurare a performanţelor–sunt dificil de introdus datorită controverselor şi dificultăţilor metodologice în a evalua în termeni monetari poluarea şi extragerea resurselor din mediul natural.</w:t>
      </w:r>
    </w:p>
    <w:p w14:paraId="7D494214">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Conceptul de dezvoltare durabilă este indisolubil legat de cel al calităţii vieţii şi include realizarea a trei deziderate: bunăstarea economică, stabilitatea socială şi protecţia mediului. În acest sens: </w:t>
      </w:r>
    </w:p>
    <w:p w14:paraId="7E78E469">
      <w:pPr>
        <w:tabs>
          <w:tab w:val="left" w:pos="9180"/>
        </w:tabs>
        <w:spacing w:line="336" w:lineRule="auto"/>
        <w:ind w:firstLine="437"/>
        <w:rPr>
          <w:rFonts w:eastAsia="Times New Roman" w:cs="Arial"/>
          <w:iCs/>
          <w:sz w:val="22"/>
          <w:lang w:val="ro-RO" w:eastAsia="ro-RO"/>
        </w:rPr>
      </w:pPr>
      <w:r>
        <w:rPr>
          <w:rFonts w:eastAsia="Times New Roman" w:cs="Arial"/>
          <w:iCs/>
          <w:sz w:val="22"/>
          <w:lang w:val="ro-RO" w:eastAsia="ro-RO"/>
        </w:rPr>
        <w:t xml:space="preserve">        –   bunăstarea economică urmăreşte generarea unui flux maxim de venit prin  menţinerea în timp a capitalului care a produs aceste beneficii; </w:t>
      </w:r>
    </w:p>
    <w:p w14:paraId="7EDF86C1">
      <w:pPr>
        <w:tabs>
          <w:tab w:val="left" w:pos="9180"/>
        </w:tabs>
        <w:spacing w:line="336" w:lineRule="auto"/>
        <w:ind w:firstLine="437"/>
        <w:rPr>
          <w:rFonts w:eastAsia="Times New Roman" w:cs="Arial"/>
          <w:iCs/>
          <w:sz w:val="22"/>
          <w:lang w:val="ro-RO" w:eastAsia="ro-RO"/>
        </w:rPr>
      </w:pPr>
      <w:r>
        <w:rPr>
          <w:rFonts w:eastAsia="Times New Roman" w:cs="Arial"/>
          <w:iCs/>
          <w:sz w:val="22"/>
          <w:lang w:val="ro-RO" w:eastAsia="ro-RO"/>
        </w:rPr>
        <w:t xml:space="preserve">        –   stabilitatea sistemelor sociale şi culturale asigură condiţia capitalului uman necesar oricărui tip de dezvoltare, inclusiv prin reducerea conflictelor distructive; </w:t>
      </w:r>
    </w:p>
    <w:p w14:paraId="604188A2">
      <w:pPr>
        <w:tabs>
          <w:tab w:val="left" w:pos="9180"/>
        </w:tabs>
        <w:spacing w:line="336" w:lineRule="auto"/>
        <w:ind w:firstLine="437"/>
        <w:rPr>
          <w:rFonts w:eastAsia="Times New Roman" w:cs="Arial"/>
          <w:iCs/>
          <w:sz w:val="22"/>
          <w:lang w:val="ro-RO" w:eastAsia="ro-RO"/>
        </w:rPr>
      </w:pPr>
      <w:r>
        <w:rPr>
          <w:rFonts w:eastAsia="Times New Roman" w:cs="Arial"/>
          <w:iCs/>
          <w:sz w:val="22"/>
          <w:lang w:val="ro-RO" w:eastAsia="ro-RO"/>
        </w:rPr>
        <w:t xml:space="preserve">        –    din punctul de vedere al protecţiei mediului, dezvoltarea durabilă urmăreşte   să conserve stabilitatea biologică şi fizică a sistemelor naturale. </w:t>
      </w:r>
    </w:p>
    <w:p w14:paraId="4D2385B1">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Între 26 august şi 4 septembrie 2002 a avut loc la Johannesburg, în Africa de Sud, „Întâlnirea mondialã la nivel înalt privind dezvoltarea durabilă“.  Anul 2002 a marcat aniversarea a 10 ani de la conferinţa de la Rio de Janeiro. Unul dintre obiectivele acelei întâlniri la vârf a fost evaluarea acţiunilor desfãşurate în cei 10 ani care au trecut.  În declaraţia preşedintelui forumului mondial, rezultatele au fost apreciate ca pozitive, deşi este recunoscut faptul cã există încă foarte multe probleme legate de aplicarea în practicã a conceptului de dezvoltare durabilă. </w:t>
      </w:r>
    </w:p>
    <w:p w14:paraId="66CCC525">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Declaraţia politică de la Johannesburg a scos din nou în evidenţă datoria pe care o au comunităţile, atât cele mari cât şi cele mici, de a contribui la evoluţia unor societăţi echitabile şi durabile. De asemenea, se reiterează ideea necesităţii unor reglementări transparente şi stabile, care să impună responsabilităţi legale în toate domeniile incluse de conceptul de dezvoltare durabilă. </w:t>
      </w:r>
    </w:p>
    <w:p w14:paraId="58B40138">
      <w:pPr>
        <w:ind w:right="357" w:firstLine="0"/>
        <w:rPr>
          <w:rFonts w:eastAsia="Times New Roman" w:cs="Arial"/>
          <w:b/>
          <w:bCs/>
          <w:iCs/>
          <w:sz w:val="22"/>
          <w:u w:val="single"/>
          <w:lang w:val="ro-RO" w:eastAsia="ro-RO"/>
        </w:rPr>
      </w:pPr>
    </w:p>
    <w:p w14:paraId="63D47771">
      <w:pPr>
        <w:ind w:left="437" w:right="357" w:firstLine="0"/>
        <w:rPr>
          <w:rFonts w:eastAsia="Times New Roman" w:cs="Arial"/>
          <w:iCs/>
          <w:sz w:val="22"/>
          <w:lang w:val="ro-RO" w:eastAsia="ro-RO"/>
        </w:rPr>
      </w:pPr>
      <w:r>
        <w:rPr>
          <w:rFonts w:eastAsia="Times New Roman" w:cs="Arial"/>
          <w:b/>
          <w:bCs/>
          <w:iCs/>
          <w:sz w:val="22"/>
          <w:u w:val="single"/>
          <w:lang w:val="ro-RO" w:eastAsia="ro-RO"/>
        </w:rPr>
        <w:t xml:space="preserve">2. Dezvoltarea comunitară </w:t>
      </w:r>
    </w:p>
    <w:p w14:paraId="68F7089C">
      <w:pPr>
        <w:spacing w:line="336" w:lineRule="auto"/>
        <w:rPr>
          <w:rFonts w:eastAsia="Times New Roman" w:cs="Arial"/>
          <w:iCs/>
          <w:sz w:val="22"/>
          <w:lang w:val="ro-RO" w:eastAsia="ro-RO"/>
        </w:rPr>
      </w:pPr>
      <w:r>
        <w:rPr>
          <w:rFonts w:eastAsia="Times New Roman" w:cs="Arial"/>
          <w:bCs/>
          <w:iCs/>
          <w:sz w:val="22"/>
          <w:lang w:val="ro-RO" w:eastAsia="ro-RO"/>
        </w:rPr>
        <w:t>Prin dezvoltare comunitară vom înţelege evoluţia planificată a tuturor aspectelor importante la nivelul unei comunităţi (economic, social, mediu şi cultural), evoluţie în care pot fi consemnate acţiuni colective, situaţii în care membrii unei comunităţi acţionează împreună pentru rezolvarea unor probleme comune.</w:t>
      </w:r>
      <w:r>
        <w:rPr>
          <w:rFonts w:eastAsia="Times New Roman" w:cs="Arial"/>
          <w:iCs/>
          <w:sz w:val="22"/>
          <w:lang w:val="ro-RO" w:eastAsia="ro-RO"/>
        </w:rPr>
        <w:t xml:space="preserve"> Iniţiativele privind dezvoltarea locală pot fi diferite din punctul de vedere al anvergurii, în funcţie de mărimea grupului de iniţiativă sau de obiectivele pe care şi le propune. </w:t>
      </w:r>
    </w:p>
    <w:p w14:paraId="68122B5A">
      <w:pPr>
        <w:spacing w:line="336" w:lineRule="auto"/>
        <w:rPr>
          <w:rFonts w:eastAsia="Times New Roman" w:cs="Arial"/>
          <w:iCs/>
          <w:sz w:val="22"/>
          <w:lang w:val="ro-RO" w:eastAsia="ro-RO"/>
        </w:rPr>
      </w:pPr>
      <w:r>
        <w:rPr>
          <w:rFonts w:eastAsia="Times New Roman" w:cs="Arial"/>
          <w:iCs/>
          <w:sz w:val="22"/>
          <w:lang w:val="ro-RO" w:eastAsia="ro-RO"/>
        </w:rPr>
        <w:t xml:space="preserve">Putem avea aşadar iniţiative ale unui grup mic sau iniţiative de dezvoltare în care este implicată întreaga comunitate. Indiferent care sunt cei care proiectează aceste viziuni de dezvoltare a comunităţii (grup sau întreaga comunitate) </w:t>
      </w:r>
      <w:r>
        <w:rPr>
          <w:rFonts w:eastAsia="Times New Roman" w:cs="Arial"/>
          <w:bCs/>
          <w:iCs/>
          <w:sz w:val="22"/>
          <w:lang w:val="ro-RO" w:eastAsia="ro-RO"/>
        </w:rPr>
        <w:t>planul de dezvoltare comunitară</w:t>
      </w:r>
      <w:r>
        <w:rPr>
          <w:rFonts w:eastAsia="Times New Roman" w:cs="Arial"/>
          <w:iCs/>
          <w:sz w:val="22"/>
          <w:lang w:val="ro-RO" w:eastAsia="ro-RO"/>
        </w:rPr>
        <w:t xml:space="preserve"> trebuie să respecte câteva cerinţe de bază: să fie bine planificat şi proiectat pe termen lung (preferabil), să beneficieze de sprijinul comunităţii, să ofere o imagine de ansamblu asupra proceselor de dezvoltare şi să fie echitabil pentru toate părţile implicate. </w:t>
      </w:r>
    </w:p>
    <w:p w14:paraId="1C15FE01">
      <w:pPr>
        <w:spacing w:line="336" w:lineRule="auto"/>
        <w:rPr>
          <w:rFonts w:eastAsia="Times New Roman" w:cs="Arial"/>
          <w:iCs/>
          <w:sz w:val="22"/>
          <w:lang w:val="ro-RO" w:eastAsia="ro-RO"/>
        </w:rPr>
      </w:pPr>
      <w:r>
        <w:rPr>
          <w:rFonts w:eastAsia="Times New Roman" w:cs="Arial"/>
          <w:b/>
          <w:bCs/>
          <w:iCs/>
          <w:sz w:val="22"/>
          <w:lang w:val="ro-RO" w:eastAsia="ro-RO"/>
        </w:rPr>
        <w:t>Principalul rezultat al proceselor de dezvoltare comunitară trebuie să-l constituie creşterea standardului de viaţă pentru membrii comunităţii parte a acestor procese.</w:t>
      </w:r>
      <w:r>
        <w:rPr>
          <w:rFonts w:eastAsia="Times New Roman" w:cs="Arial"/>
          <w:iCs/>
          <w:sz w:val="22"/>
          <w:lang w:val="ro-RO" w:eastAsia="ro-RO"/>
        </w:rPr>
        <w:t xml:space="preserve"> Părţile care susţin acest gen de iniţiative trebuie să-şi asume responsabilităţi şi mai apoi să beneficieze în egală măsură de câştigurile rezultate în urma implementării planului de dezvoltare comunitară. Actorii implicaţi trebuie sã înţeleagă faptul că există legături indisolubile între problemele de natură socială, culturală, cele ecologice şi cele de natură economică.  Admiţând  faptul  că la nivelul unei comunităţi există întotdeauna interese diferite la nivel de grup, eforturile planificate de dezvoltare a comunităţii încearcă să reducă competiţia excesivă la nivel local, în încercarea de înlocuire a competiţiei cu diferite forme de cooperare, bazate pe interese comune.</w:t>
      </w:r>
    </w:p>
    <w:p w14:paraId="1F426944">
      <w:pPr>
        <w:ind w:right="357" w:firstLine="0"/>
        <w:rPr>
          <w:rFonts w:eastAsia="Times New Roman" w:cs="Arial"/>
          <w:b/>
          <w:bCs/>
          <w:iCs/>
          <w:sz w:val="22"/>
          <w:u w:val="single"/>
          <w:lang w:val="ro-RO" w:eastAsia="ro-RO"/>
        </w:rPr>
      </w:pPr>
    </w:p>
    <w:p w14:paraId="45EDECF4">
      <w:pPr>
        <w:ind w:left="437" w:right="357" w:firstLine="0"/>
        <w:rPr>
          <w:rFonts w:eastAsia="Times New Roman" w:cs="Arial"/>
          <w:iCs/>
          <w:sz w:val="22"/>
          <w:lang w:val="ro-RO" w:eastAsia="ro-RO"/>
        </w:rPr>
      </w:pPr>
      <w:r>
        <w:rPr>
          <w:rFonts w:eastAsia="Times New Roman" w:cs="Arial"/>
          <w:b/>
          <w:bCs/>
          <w:iCs/>
          <w:sz w:val="22"/>
          <w:u w:val="single"/>
          <w:lang w:val="ro-RO" w:eastAsia="ro-RO"/>
        </w:rPr>
        <w:t xml:space="preserve">CONCEPTELE  DE  COMUNITATE  ŞI  DEZVOLTARE </w:t>
      </w:r>
    </w:p>
    <w:p w14:paraId="53A836BD">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De cele mai multe ori când facem referire la termenul de </w:t>
      </w:r>
      <w:r>
        <w:rPr>
          <w:rFonts w:eastAsia="Times New Roman" w:cs="Arial"/>
          <w:b/>
          <w:bCs/>
          <w:iCs/>
          <w:sz w:val="22"/>
          <w:lang w:val="ro-RO" w:eastAsia="ro-RO"/>
        </w:rPr>
        <w:t>comunitate</w:t>
      </w:r>
      <w:r>
        <w:rPr>
          <w:rFonts w:eastAsia="Times New Roman" w:cs="Arial"/>
          <w:iCs/>
          <w:sz w:val="22"/>
          <w:lang w:val="ro-RO" w:eastAsia="ro-RO"/>
        </w:rPr>
        <w:t xml:space="preserve"> ne gândim la delimitările spaţiale de genul sat – oraş sau la ceea ce înseamnă cartierul sau vecinătăţile. Comunitatea poate fi definită şi după alte criterii, altele decât cele geografico-spaţiale. Putem defini comunităţile plecând de la distincţii lingvistice, religioase sau culturale. Fiecare dintre noi poate fi parte din mai multe comunităţi în acelaşi timp. De asemenea situaţii trebuie să avem în vedere faptul că nu toţi cei care populează un anumit areal aparţin în mod automat unei comunităţi. Tipul de relaţii pe care un individ le are cu ceilaţi (legăturile afective cu „locurile“) definesc pentru fiecare individ apartenenţa sau nonaparteneţa lui la o comunitate. </w:t>
      </w:r>
    </w:p>
    <w:p w14:paraId="7748D24A">
      <w:pPr>
        <w:tabs>
          <w:tab w:val="left" w:pos="9180"/>
        </w:tabs>
        <w:spacing w:line="336" w:lineRule="auto"/>
        <w:rPr>
          <w:rFonts w:eastAsia="Times New Roman" w:cs="Arial"/>
          <w:iCs/>
          <w:sz w:val="22"/>
          <w:lang w:val="ro-RO" w:eastAsia="ro-RO"/>
        </w:rPr>
      </w:pPr>
      <w:r>
        <w:rPr>
          <w:rFonts w:eastAsia="Times New Roman" w:cs="Arial"/>
          <w:iCs/>
          <w:sz w:val="22"/>
          <w:lang w:val="ro-RO" w:eastAsia="ro-RO"/>
        </w:rPr>
        <w:t xml:space="preserve">Conceptul de </w:t>
      </w:r>
      <w:r>
        <w:rPr>
          <w:rFonts w:eastAsia="Times New Roman" w:cs="Arial"/>
          <w:b/>
          <w:bCs/>
          <w:iCs/>
          <w:sz w:val="22"/>
          <w:lang w:val="ro-RO" w:eastAsia="ro-RO"/>
        </w:rPr>
        <w:t>dezvoltare</w:t>
      </w:r>
      <w:r>
        <w:rPr>
          <w:rFonts w:eastAsia="Times New Roman" w:cs="Arial"/>
          <w:iCs/>
          <w:sz w:val="22"/>
          <w:lang w:val="ro-RO" w:eastAsia="ro-RO"/>
        </w:rPr>
        <w:t xml:space="preserve"> este cel mai adesea asociat cu expansiune sau creştere.  Această reprezentare este proprie perioadei industrializării, atunci când singurele criterii de evaluare a proceselor de dezvoltare erau de tip cantitativ şi vizau volumul, numărul şi viteza de realizare. O accepţiune mai recentă asupra acestui concept este aceea că prin dezvoltare trebuie înţeles în primul rând schimbare, şi doar în al doilea rând creştere. Dezvoltarea comunitară poate fi privită ca procesul prin care o comunitate devine mai responsabilă de probleme sau de potenţialul de  care  dispune,  reuşind  în  acelaşi  timp  să-şi  organizeze şi să planifice mai bine resursele de care dispune. Angajarea cu eficienţă maximă a resurselor comunitare are ca obiectiv final dezvoltarea economică locală (crearea de noi locuri de muncă şi a oportunităţilor de afaceri, reducerea sărăciei) şi în egală măsură realizarea unor obiective socio-culturale şi de mediu. Dezvoltarea comunitară reprezintă procesul prin care se încearcă schimbarea condiţiilor şi a factorilor care acţionează la nivel de comunitate astfel încât, în urma acestor schimbări comunitatea să înregistreze nivele ridicate ale standardului de viatã. </w:t>
      </w:r>
    </w:p>
    <w:p w14:paraId="3FB854B9">
      <w:pPr>
        <w:ind w:left="437" w:right="357" w:firstLine="0"/>
        <w:rPr>
          <w:rFonts w:eastAsia="Times New Roman" w:cs="Arial"/>
          <w:iCs/>
          <w:sz w:val="22"/>
          <w:lang w:val="ro-RO" w:eastAsia="ro-RO"/>
        </w:rPr>
      </w:pPr>
      <w:r>
        <w:rPr>
          <w:rFonts w:eastAsia="Times New Roman" w:cs="Arial"/>
          <w:b/>
          <w:bCs/>
          <w:iCs/>
          <w:sz w:val="22"/>
          <w:lang w:val="ro-RO" w:eastAsia="ro-RO"/>
        </w:rPr>
        <w:t>Resurse utilizate în conceptul de dezvoltare comunitară</w:t>
      </w:r>
    </w:p>
    <w:p w14:paraId="1D971028">
      <w:pPr>
        <w:spacing w:line="336" w:lineRule="auto"/>
        <w:rPr>
          <w:rFonts w:eastAsia="Times New Roman" w:cs="Arial"/>
          <w:iCs/>
          <w:sz w:val="22"/>
          <w:lang w:val="ro-RO" w:eastAsia="ro-RO"/>
        </w:rPr>
      </w:pPr>
      <w:r>
        <w:rPr>
          <w:rFonts w:eastAsia="Times New Roman" w:cs="Arial"/>
          <w:iCs/>
          <w:sz w:val="22"/>
          <w:lang w:val="ro-RO" w:eastAsia="ro-RO"/>
        </w:rPr>
        <w:t xml:space="preserve">Atunci când cineva îşi propune dezvoltarea unei comunităţi cel mai adesea face referire la resursele financiare şi naturale. Experienţa ne arată că ne confruntăm cu un fenomen complex, dezvoltarea comunitară implică sau mai degrabă impune utilizarea şi a altor categorii de resurse. </w:t>
      </w:r>
    </w:p>
    <w:p w14:paraId="475384EE">
      <w:pPr>
        <w:spacing w:line="336" w:lineRule="auto"/>
        <w:rPr>
          <w:rFonts w:eastAsia="Times New Roman" w:cs="Arial"/>
          <w:iCs/>
          <w:sz w:val="22"/>
          <w:lang w:val="ro-RO" w:eastAsia="ro-RO"/>
        </w:rPr>
      </w:pPr>
      <w:r>
        <w:rPr>
          <w:rFonts w:eastAsia="Times New Roman" w:cs="Arial"/>
          <w:iCs/>
          <w:sz w:val="22"/>
          <w:lang w:val="ro-RO" w:eastAsia="ro-RO"/>
        </w:rPr>
        <w:t>Reuşita acestor iniţiative este dată de angajarea tuturor resurselor existente într-o comunitate</w:t>
      </w:r>
      <w:r>
        <w:rPr>
          <w:rFonts w:eastAsia="Times New Roman" w:cs="Arial"/>
          <w:iCs/>
          <w:sz w:val="22"/>
          <w:lang w:eastAsia="ro-RO"/>
        </w:rPr>
        <w:t>:</w:t>
      </w:r>
      <w:r>
        <w:rPr>
          <w:rFonts w:eastAsia="Times New Roman" w:cs="Arial"/>
          <w:iCs/>
          <w:sz w:val="22"/>
          <w:lang w:val="ro-RO" w:eastAsia="ro-RO"/>
        </w:rPr>
        <w:t xml:space="preserve"> </w:t>
      </w:r>
      <w:r>
        <w:rPr>
          <w:rFonts w:eastAsia="Times New Roman" w:cs="Arial"/>
          <w:b/>
          <w:bCs/>
          <w:iCs/>
          <w:sz w:val="22"/>
          <w:lang w:val="ro-RO" w:eastAsia="ro-RO"/>
        </w:rPr>
        <w:t>naturale, umane, finaciare, infrastructurale</w:t>
      </w:r>
      <w:r>
        <w:rPr>
          <w:rFonts w:eastAsia="Times New Roman" w:cs="Arial"/>
          <w:iCs/>
          <w:sz w:val="22"/>
          <w:lang w:val="ro-RO" w:eastAsia="ro-RO"/>
        </w:rPr>
        <w:t xml:space="preserve">. </w:t>
      </w:r>
    </w:p>
    <w:p w14:paraId="6A1F735A">
      <w:pPr>
        <w:spacing w:line="336" w:lineRule="auto"/>
        <w:rPr>
          <w:rFonts w:eastAsia="Times New Roman" w:cs="Arial"/>
          <w:iCs/>
          <w:sz w:val="22"/>
          <w:lang w:val="ro-RO" w:eastAsia="ro-RO"/>
        </w:rPr>
      </w:pPr>
      <w:r>
        <w:rPr>
          <w:rFonts w:eastAsia="Times New Roman" w:cs="Arial"/>
          <w:iCs/>
          <w:sz w:val="22"/>
          <w:lang w:val="ro-RO" w:eastAsia="ro-RO"/>
        </w:rPr>
        <w:t xml:space="preserve"> • </w:t>
      </w:r>
      <w:r>
        <w:rPr>
          <w:rFonts w:eastAsia="Times New Roman" w:cs="Arial"/>
          <w:b/>
          <w:bCs/>
          <w:iCs/>
          <w:sz w:val="22"/>
          <w:lang w:val="ro-RO" w:eastAsia="ro-RO"/>
        </w:rPr>
        <w:t>Resursele naturale</w:t>
      </w:r>
      <w:r>
        <w:rPr>
          <w:rFonts w:eastAsia="Times New Roman" w:cs="Arial"/>
          <w:iCs/>
          <w:sz w:val="22"/>
          <w:lang w:val="ro-RO" w:eastAsia="ro-RO"/>
        </w:rPr>
        <w:t xml:space="preserve"> vor include: pământ, apă, aer, resurse ale solului şi subsolului, pădurea şi viaţa sălbatică, legislaţia şi politicile locale privitoare la mediul natural.</w:t>
      </w:r>
    </w:p>
    <w:p w14:paraId="53993C2E">
      <w:pPr>
        <w:spacing w:line="336" w:lineRule="auto"/>
        <w:rPr>
          <w:rFonts w:eastAsia="Times New Roman" w:cs="Arial"/>
          <w:iCs/>
          <w:sz w:val="22"/>
          <w:lang w:val="ro-RO" w:eastAsia="ro-RO"/>
        </w:rPr>
      </w:pPr>
      <w:r>
        <w:rPr>
          <w:rFonts w:eastAsia="Times New Roman" w:cs="Arial"/>
          <w:iCs/>
          <w:sz w:val="22"/>
          <w:lang w:val="ro-RO" w:eastAsia="ro-RO"/>
        </w:rPr>
        <w:t xml:space="preserve"> • Prin </w:t>
      </w:r>
      <w:r>
        <w:rPr>
          <w:rFonts w:eastAsia="Times New Roman" w:cs="Arial"/>
          <w:b/>
          <w:bCs/>
          <w:iCs/>
          <w:sz w:val="22"/>
          <w:lang w:val="ro-RO" w:eastAsia="ro-RO"/>
        </w:rPr>
        <w:t>resurse umane</w:t>
      </w:r>
      <w:r>
        <w:rPr>
          <w:rFonts w:eastAsia="Times New Roman" w:cs="Arial"/>
          <w:iCs/>
          <w:sz w:val="22"/>
          <w:lang w:val="ro-RO" w:eastAsia="ro-RO"/>
        </w:rPr>
        <w:t xml:space="preserve"> vom înţelege membrii unei comunităţi. Implicarea şi participarea oamenilor la procesul dezvoltării comunitare este un element cheie pentru succesul unei astfel de activităţi. Pe lângă componenta solidaritate socială este nevoie de formarea şi dezvoltarea resuselor umane în plan profesional luând în calcul poziţia şi rolul indivizilor în cadrul acestui proces.  Atunci când este vorba de procesul dezvoltării resurselor umane, sociologii fac referire la dezvoltarea capitalului social. Deşi problematic, procesul dezvoltării resurselor umane, se constată faptul că spre deosebire de alt gen de resurse, în cazul resursei umane este posibilă în foarte mare măsură remodelarea, reorientarea acesteia, unii apreciind-o ca fiind cea mai importantã resursă pe care o deţine o comunitate. În categoria resurse umane pot fi incluse: educaţia şi formarea profesională, sănătatea individului şi a familiei, stilurile de viaţă, relaţia angajat-angajator, drepturi ale omului şi drepturi cetăţeneşti, legislaţia muncii</w:t>
      </w:r>
      <w:r>
        <w:rPr>
          <w:rFonts w:eastAsia="Times New Roman" w:cs="Arial"/>
          <w:b/>
          <w:bCs/>
          <w:iCs/>
          <w:sz w:val="22"/>
          <w:lang w:val="ro-RO" w:eastAsia="ro-RO"/>
        </w:rPr>
        <w:t>.</w:t>
      </w:r>
    </w:p>
    <w:p w14:paraId="38A68D8C">
      <w:pPr>
        <w:spacing w:line="336" w:lineRule="auto"/>
        <w:rPr>
          <w:rFonts w:eastAsia="Times New Roman" w:cs="Arial"/>
          <w:iCs/>
          <w:sz w:val="22"/>
          <w:lang w:val="ro-RO" w:eastAsia="ro-RO"/>
        </w:rPr>
      </w:pPr>
      <w:r>
        <w:rPr>
          <w:rFonts w:eastAsia="Times New Roman" w:cs="Arial"/>
          <w:b/>
          <w:bCs/>
          <w:iCs/>
          <w:sz w:val="22"/>
          <w:lang w:val="ro-RO" w:eastAsia="ro-RO"/>
        </w:rPr>
        <w:t xml:space="preserve">• Resursele financiare </w:t>
      </w:r>
      <w:r>
        <w:rPr>
          <w:rFonts w:eastAsia="Times New Roman" w:cs="Arial"/>
          <w:iCs/>
          <w:sz w:val="22"/>
          <w:lang w:val="ro-RO" w:eastAsia="ro-RO"/>
        </w:rPr>
        <w:t xml:space="preserve">presupun existenţa banilor sau capacitatea de a face rost de bani. </w:t>
      </w:r>
    </w:p>
    <w:p w14:paraId="68910FB8">
      <w:pPr>
        <w:spacing w:line="336" w:lineRule="auto"/>
        <w:rPr>
          <w:rFonts w:eastAsia="Times New Roman" w:cs="Arial"/>
          <w:bCs/>
          <w:iCs/>
          <w:sz w:val="22"/>
          <w:lang w:val="ro-RO" w:eastAsia="ro-RO"/>
        </w:rPr>
      </w:pPr>
      <w:r>
        <w:rPr>
          <w:rFonts w:eastAsia="Times New Roman" w:cs="Arial"/>
          <w:iCs/>
          <w:sz w:val="22"/>
          <w:lang w:val="ro-RO" w:eastAsia="ro-RO"/>
        </w:rPr>
        <w:t xml:space="preserve">Succesul iniţiativelor de dezvoltare comunitare constă în identificare şi atragerea surselor financiare care pot conduce la atingerea obiectivelor propuse în strategiile de dezvoltare comunitară. De cele mai multe ori aceste iniţiative pleacă de la taxele locale sau subvenţiile guvernamentale. Acest proces însă nu trebuie să se oprească doar la menţionarea acestui tip de resurse financiare. Există în acest moment pentru situaţii de acest gen persoane cu calificarea şi abilităţile necesare, special angajate în vederea atragerii de resurse finaciare necesare dezvoltării comunitare. O listă extinsă a resurselor financiare ar putea include: </w:t>
      </w:r>
      <w:r>
        <w:rPr>
          <w:rFonts w:eastAsia="Times New Roman" w:cs="Arial"/>
          <w:bCs/>
          <w:iCs/>
          <w:sz w:val="22"/>
          <w:lang w:val="ro-RO" w:eastAsia="ro-RO"/>
        </w:rPr>
        <w:t>taxe şi impozite locale, alocaţii sau subvenţii guvernamentale, împrumuturi guvernamentale, împrumuturi bancare, forme cooperatiste de împrumut sau investiţii, atragerea de fonduri nerambursabile, granturi, politici şi măsuri menite să stimuleze investiţiile în comunitate.</w:t>
      </w:r>
    </w:p>
    <w:p w14:paraId="2014FA36">
      <w:pPr>
        <w:spacing w:line="336" w:lineRule="auto"/>
        <w:ind w:left="435" w:right="360" w:firstLine="0"/>
        <w:rPr>
          <w:rFonts w:eastAsia="Times New Roman" w:cs="Arial"/>
          <w:iCs/>
          <w:sz w:val="22"/>
          <w:lang w:val="ro-RO" w:eastAsia="ro-RO"/>
        </w:rPr>
      </w:pPr>
      <w:r>
        <w:rPr>
          <w:rFonts w:eastAsia="Times New Roman" w:cs="Arial"/>
          <w:iCs/>
          <w:sz w:val="22"/>
          <w:lang w:val="ro-RO" w:eastAsia="ro-RO"/>
        </w:rPr>
        <w:t xml:space="preserve">• </w:t>
      </w:r>
      <w:r>
        <w:rPr>
          <w:rFonts w:eastAsia="Times New Roman" w:cs="Arial"/>
          <w:b/>
          <w:bCs/>
          <w:iCs/>
          <w:sz w:val="22"/>
          <w:lang w:val="ro-RO" w:eastAsia="ro-RO"/>
        </w:rPr>
        <w:t>Infrastructura comunitară</w:t>
      </w:r>
      <w:r>
        <w:rPr>
          <w:rFonts w:eastAsia="Times New Roman" w:cs="Arial"/>
          <w:iCs/>
          <w:sz w:val="22"/>
          <w:lang w:val="ro-RO" w:eastAsia="ro-RO"/>
        </w:rPr>
        <w:t xml:space="preserve"> are o dublă componentă: </w:t>
      </w:r>
    </w:p>
    <w:p w14:paraId="5FCFA077">
      <w:pPr>
        <w:spacing w:line="336" w:lineRule="auto"/>
        <w:rPr>
          <w:rFonts w:eastAsia="Times New Roman" w:cs="Arial"/>
          <w:iCs/>
          <w:sz w:val="22"/>
          <w:lang w:val="ro-RO" w:eastAsia="ro-RO"/>
        </w:rPr>
      </w:pPr>
      <w:r>
        <w:rPr>
          <w:rFonts w:eastAsia="Times New Roman" w:cs="Arial"/>
          <w:iCs/>
          <w:sz w:val="22"/>
          <w:lang w:val="ro-RO" w:eastAsia="ro-RO"/>
        </w:rPr>
        <w:t xml:space="preserve">a) infrastructură fizică, formată din clădiri, căi de acces sau transport, sisteme de comunicaţii, sistemele de alimentare cu energie (electrică sau termică), alimentarea cu apă, sisteme de canalizare, depozitarea deşeurilor. </w:t>
      </w:r>
    </w:p>
    <w:p w14:paraId="3B4BCD92">
      <w:pPr>
        <w:spacing w:line="336" w:lineRule="auto"/>
        <w:rPr>
          <w:rFonts w:eastAsia="Times New Roman" w:cs="Arial"/>
          <w:iCs/>
          <w:sz w:val="22"/>
          <w:lang w:val="ro-RO" w:eastAsia="ro-RO"/>
        </w:rPr>
      </w:pPr>
      <w:r>
        <w:rPr>
          <w:rFonts w:eastAsia="Times New Roman" w:cs="Arial"/>
          <w:iCs/>
          <w:sz w:val="22"/>
          <w:lang w:val="ro-RO" w:eastAsia="ro-RO"/>
        </w:rPr>
        <w:t xml:space="preserve">b) cea de a doua componentă este reprezentată de sistemele de leadership (conducere) menite să elaboreze politicile locale care să susţină dezvoltarea comunităţii. </w:t>
      </w:r>
    </w:p>
    <w:p w14:paraId="661A39CC">
      <w:pPr>
        <w:spacing w:line="336" w:lineRule="auto"/>
        <w:rPr>
          <w:rFonts w:eastAsia="Times New Roman" w:cs="Arial"/>
          <w:iCs/>
          <w:sz w:val="22"/>
          <w:lang w:val="ro-RO" w:eastAsia="ro-RO"/>
        </w:rPr>
      </w:pPr>
      <w:r>
        <w:rPr>
          <w:rFonts w:eastAsia="Times New Roman" w:cs="Arial"/>
          <w:iCs/>
          <w:sz w:val="22"/>
          <w:lang w:val="ro-RO" w:eastAsia="ro-RO"/>
        </w:rPr>
        <w:t xml:space="preserve">O altă dimensiune a procesului de dezvoltare a comunităţii include toate acele demersuri care conduc la creşterea abilităţii oamenilor, atât la nivel îndividual cât şi la nivel de grup, de a răspunde provocărilor şi oportunităţilor existente la nivelul comunităţii în care aceştia trăiesc.  Iniţiativele de dezvoltare comunitară trebuie să vină din interiorul comunităţii şi trebuie să fie gestionate de către comunitate. </w:t>
      </w:r>
    </w:p>
    <w:p w14:paraId="17282632">
      <w:pPr>
        <w:spacing w:line="336" w:lineRule="auto"/>
        <w:rPr>
          <w:rFonts w:eastAsia="Times New Roman" w:cs="Arial"/>
          <w:iCs/>
          <w:sz w:val="22"/>
          <w:lang w:val="ro-RO" w:eastAsia="ro-RO"/>
        </w:rPr>
      </w:pPr>
      <w:r>
        <w:rPr>
          <w:rFonts w:eastAsia="Times New Roman" w:cs="Arial"/>
          <w:iCs/>
          <w:sz w:val="22"/>
          <w:lang w:val="ro-RO" w:eastAsia="ro-RO"/>
        </w:rPr>
        <w:t xml:space="preserve">În ceea ce priveşte dezvoltarea comunitară un rol important care contribuie la reuşita procesului îl constituie parteneriatul între actorii importanţi ai comunităţii (aceşti actori pot fi indivizi sau grupuri, mai mult sau mai puţin formalizate). Rezultatul final al procesului de dezvoltare comunitară are la bază consensul şi sprijinul acordat de actorii de referinţă dintr-o comunitate. Experienţa ultimilor ani din România arată faptul că cele mai multe iniţiative de dezvoltare comunitară au fost sortite eşecului. Cauzele sunt multiple, ele putând fi atribuite lipsei de experienţă a părţilor în acţiuni de genul parteneriatului, fie datorită unor caracteristici şi factori structurali proprii comunităţilor respective. </w:t>
      </w:r>
    </w:p>
    <w:p w14:paraId="7A4E12E5">
      <w:pPr>
        <w:spacing w:line="336" w:lineRule="auto"/>
        <w:rPr>
          <w:rFonts w:eastAsia="Times New Roman" w:cs="Arial"/>
          <w:iCs/>
          <w:sz w:val="22"/>
          <w:lang w:val="ro-RO" w:eastAsia="ro-RO"/>
        </w:rPr>
      </w:pPr>
      <w:r>
        <w:rPr>
          <w:rFonts w:eastAsia="Times New Roman" w:cs="Arial"/>
          <w:iCs/>
          <w:sz w:val="22"/>
          <w:lang w:val="ro-RO" w:eastAsia="ro-RO"/>
        </w:rPr>
        <w:t xml:space="preserve">Dacă ar fi să dăm o definiţie parteneriatului am putea spune că în general prin parteneriat putem înţelege relaţia stabilită între două sau mai multe părţi care împărtăşesc scopuri comune şi care sunt dispuse să gestioneze resurse în comun pentru ca mai apoi să-şi asume riscurile şi beneficiile acestor  activităţi.  În  general relaţiile de parteneriat se realizează pentru că din aceste relaţii decurg câteva avantaje: identificarea unor soluţii creative care să susţină sau să diversifice sectorul de afaceri, dimensiuni importante ale vieţii socio-culturale sau iniţiative de mediu. </w:t>
      </w:r>
    </w:p>
    <w:p w14:paraId="2037C704">
      <w:pPr>
        <w:spacing w:line="336" w:lineRule="auto"/>
        <w:rPr>
          <w:rFonts w:eastAsia="Times New Roman" w:cs="Arial"/>
          <w:iCs/>
          <w:sz w:val="22"/>
          <w:lang w:val="ro-RO" w:eastAsia="ro-RO"/>
        </w:rPr>
      </w:pPr>
      <w:r>
        <w:rPr>
          <w:rFonts w:eastAsia="Times New Roman" w:cs="Arial"/>
          <w:iCs/>
          <w:sz w:val="22"/>
          <w:lang w:val="ro-RO" w:eastAsia="ro-RO"/>
        </w:rPr>
        <w:t xml:space="preserve">Realizarea unui parteneriat presupune existenţa unor grupuri sau indivizi care posedă idei, resurse şi mod de a gândi oarecum apropiat în raport cu anumite probleme comune. Pentru a menţine funcţională această structură organizaţională (de multe ori părţile au interese şi viziuni foarte diferite), persoana care se ocupă de aceste aspecte privind coeziunea grupului trebuie să aibă cunoştinţe şi abilităţi speciale care să conducă în cele din urmă la formarea unei identităţi şi a motivaţiei care să susţină parteneriatul. </w:t>
      </w:r>
    </w:p>
    <w:p w14:paraId="16DAA69E">
      <w:pPr>
        <w:spacing w:line="336" w:lineRule="auto"/>
        <w:rPr>
          <w:rFonts w:eastAsia="Times New Roman" w:cs="Arial"/>
          <w:iCs/>
          <w:sz w:val="22"/>
          <w:lang w:val="ro-RO" w:eastAsia="ro-RO"/>
        </w:rPr>
      </w:pPr>
      <w:r>
        <w:rPr>
          <w:rFonts w:eastAsia="Times New Roman" w:cs="Arial"/>
          <w:iCs/>
          <w:sz w:val="22"/>
          <w:lang w:val="ro-RO" w:eastAsia="ro-RO"/>
        </w:rPr>
        <w:t xml:space="preserve">Parteneriatele sunt diferite în funcţie de durată (pot fi încheiate pe termen lung sau scurt) sau pot să difere în funcţie de gradul de complexitate în care au fost ele proiectate. Indiferent de tip, parteneriatele trebuie să păstreze anumite trăsături comune, cum ar fi:  </w:t>
      </w:r>
    </w:p>
    <w:p w14:paraId="5D36BDC9">
      <w:pPr>
        <w:spacing w:line="336" w:lineRule="auto"/>
        <w:rPr>
          <w:rFonts w:eastAsia="Times New Roman" w:cs="Arial"/>
          <w:iCs/>
          <w:sz w:val="22"/>
          <w:lang w:val="ro-RO" w:eastAsia="ro-RO"/>
        </w:rPr>
      </w:pPr>
      <w:r>
        <w:rPr>
          <w:rFonts w:eastAsia="Times New Roman" w:cs="Arial"/>
          <w:iCs/>
          <w:sz w:val="22"/>
          <w:lang w:val="ro-RO" w:eastAsia="ro-RO"/>
        </w:rPr>
        <w:t xml:space="preserve"> -  autoritatea asumată de toate părţile;</w:t>
      </w:r>
    </w:p>
    <w:p w14:paraId="181B9F50">
      <w:pPr>
        <w:spacing w:line="336" w:lineRule="auto"/>
        <w:ind w:left="720" w:hanging="270"/>
        <w:rPr>
          <w:rFonts w:eastAsia="Times New Roman" w:cs="Arial"/>
          <w:iCs/>
          <w:sz w:val="22"/>
          <w:lang w:val="ro-RO" w:eastAsia="ro-RO"/>
        </w:rPr>
      </w:pPr>
      <w:r>
        <w:rPr>
          <w:rFonts w:eastAsia="Times New Roman" w:cs="Arial"/>
          <w:iCs/>
          <w:sz w:val="22"/>
          <w:lang w:val="ro-RO" w:eastAsia="ro-RO"/>
        </w:rPr>
        <w:t xml:space="preserve">    -   gestionarea în comun a resursele puse la dispoziţie de fiecare parte;</w:t>
      </w:r>
    </w:p>
    <w:p w14:paraId="13CFFE54">
      <w:pPr>
        <w:spacing w:line="336" w:lineRule="auto"/>
        <w:rPr>
          <w:rFonts w:eastAsia="Times New Roman" w:cs="Arial"/>
          <w:iCs/>
          <w:sz w:val="22"/>
          <w:lang w:val="ro-RO" w:eastAsia="ro-RO"/>
        </w:rPr>
      </w:pPr>
      <w:r>
        <w:rPr>
          <w:rFonts w:eastAsia="Times New Roman" w:cs="Arial"/>
          <w:iCs/>
          <w:sz w:val="22"/>
          <w:lang w:val="ro-RO" w:eastAsia="ro-RO"/>
        </w:rPr>
        <w:t xml:space="preserve"> - pe parcursul şi după încheierea parteneriatului părţile îşi asumă în mod egal riscurile, beneficiile şi responsabilitatea acţiunilor derulate.</w:t>
      </w:r>
    </w:p>
    <w:p w14:paraId="2070E82F">
      <w:pPr>
        <w:rPr>
          <w:rFonts w:cs="Arial"/>
          <w:sz w:val="22"/>
          <w:lang w:val="ro-RO"/>
        </w:rPr>
      </w:pPr>
    </w:p>
    <w:p w14:paraId="20BDA976">
      <w:pPr>
        <w:pStyle w:val="3"/>
        <w:numPr>
          <w:ilvl w:val="1"/>
          <w:numId w:val="1"/>
        </w:numPr>
        <w:rPr>
          <w:rFonts w:cs="Arial"/>
          <w:sz w:val="22"/>
          <w:szCs w:val="22"/>
          <w:lang w:val="ro-RO"/>
        </w:rPr>
      </w:pPr>
      <w:bookmarkStart w:id="2" w:name="_Toc201926292"/>
      <w:bookmarkStart w:id="3" w:name="OLE_LINK6"/>
      <w:r>
        <w:rPr>
          <w:rFonts w:cs="Arial"/>
          <w:sz w:val="22"/>
          <w:szCs w:val="22"/>
          <w:lang w:val="ro-RO"/>
        </w:rPr>
        <w:t>Prezentare metodologică</w:t>
      </w:r>
      <w:bookmarkEnd w:id="2"/>
    </w:p>
    <w:p w14:paraId="7834C8FC">
      <w:pPr>
        <w:rPr>
          <w:rFonts w:cs="Arial"/>
          <w:sz w:val="22"/>
          <w:lang w:val="ro-RO"/>
        </w:rPr>
      </w:pPr>
      <w:bookmarkStart w:id="4" w:name="OLE_LINK5"/>
      <w:r>
        <w:rPr>
          <w:rFonts w:cs="Arial"/>
          <w:sz w:val="22"/>
          <w:lang w:val="ro-RO"/>
        </w:rPr>
        <w:t>Dezvoltarea durabilă reprezintă un obiectiv central al Strategiei de Dezvoltare Locală a Comunei Șimian pentru orizontul 2027, fiind aliniată cu direcțiile strategice ale Uniunii Europene. Scopul acestei abordări este îmbunătățirea continuă a calității vieții și a bunăstării pentru locuitorii comunei, atât în prezent, cât și pentru generațiile viitoare, prin integrarea echilibrată a progresului economic, protecției mediului și coeziunii sociale.</w:t>
      </w:r>
    </w:p>
    <w:p w14:paraId="1C0F6947">
      <w:pPr>
        <w:rPr>
          <w:rFonts w:cs="Arial"/>
          <w:sz w:val="22"/>
          <w:lang w:val="ro-RO"/>
        </w:rPr>
      </w:pPr>
      <w:r>
        <w:rPr>
          <w:rFonts w:cs="Arial"/>
          <w:sz w:val="22"/>
          <w:lang w:val="ro-RO"/>
        </w:rPr>
        <w:t>La nivel european, dezvoltarea durabilă a devenit un angajament asumat, iar SDL Șimian transpune aceste principii la nivel local, promovând utilizarea rațională și eficientă a resurselor, valorificarea potențialului economic și asigurarea unui mediu sănătos și echitabil pentru toți membrii comunității.</w:t>
      </w:r>
    </w:p>
    <w:p w14:paraId="16469AB1">
      <w:pPr>
        <w:rPr>
          <w:rFonts w:cs="Arial"/>
          <w:sz w:val="22"/>
          <w:lang w:val="ro-RO"/>
        </w:rPr>
      </w:pPr>
      <w:r>
        <w:rPr>
          <w:rFonts w:cs="Arial"/>
          <w:sz w:val="22"/>
          <w:lang w:val="ro-RO"/>
        </w:rPr>
        <w:t>Strategia de dezvoltare locală a Comunei Șimian pornește de la o analiză detaliată a caracteristicilor, resurselor și oportunităților locale, stabilind cadrul pentru progresul viitor al localității. Procesul de elaborare a strategiei a implicat colectarea și analizarea datelor relevante din surse oficiale, consultarea comunității și colaborarea cu administrația locală, pentru a fundamenta prioritățile de dezvoltare pe termen mediu și lung.</w:t>
      </w:r>
    </w:p>
    <w:p w14:paraId="2DA9403C">
      <w:pPr>
        <w:rPr>
          <w:rFonts w:cs="Arial"/>
          <w:sz w:val="22"/>
          <w:lang w:val="ro-RO"/>
        </w:rPr>
      </w:pPr>
      <w:r>
        <w:rPr>
          <w:rFonts w:cs="Arial"/>
          <w:sz w:val="22"/>
          <w:lang w:val="ro-RO"/>
        </w:rPr>
        <w:t>SDL Șimian propune scenarii de dezvoltare adaptate specificului local, prioritizând proiectele în funcție de nevoile reale ale comunității și de resursele disponibile. Planificarea strategică asigură utilizarea eficientă a resurselor și orientarea eforturilor către maximimarea potențialului local, pentru a răspunde provocărilor actuale și viitoare.</w:t>
      </w:r>
    </w:p>
    <w:p w14:paraId="16E10DBA">
      <w:pPr>
        <w:rPr>
          <w:rFonts w:cs="Arial"/>
          <w:sz w:val="22"/>
          <w:lang w:val="ro-RO"/>
        </w:rPr>
      </w:pPr>
      <w:r>
        <w:rPr>
          <w:rFonts w:cs="Arial"/>
          <w:sz w:val="22"/>
          <w:lang w:val="ro-RO"/>
        </w:rPr>
        <w:t>Prin această strategie, administrația locală își asumă rolul de a iniția, implementa și susține proiecte și obiective care vizează dezvoltarea durabilă a comunei, cu accent pe domenii precum turismul, cultura, investițiile, infrastructura, sănătatea și dezvoltarea socială. SDL Șimian 2027 oferă astfel un cadru coerent și adaptat pentru dezvoltarea echilibrată și sustenabilă a comunității, în beneficiul tuturor locuitorilor.</w:t>
      </w:r>
    </w:p>
    <w:p w14:paraId="73C30180">
      <w:pPr>
        <w:rPr>
          <w:rFonts w:cs="Arial"/>
          <w:sz w:val="22"/>
          <w:lang w:val="ro-RO"/>
        </w:rPr>
      </w:pPr>
      <w:r>
        <w:rPr>
          <w:rFonts w:cs="Arial"/>
          <w:sz w:val="22"/>
          <w:lang w:val="ro-RO"/>
        </w:rPr>
        <w:t>Strategia de Dezvoltare Locală a Comunei Șimian reprezintă un instrument esențial de planificare strategică, care oferă alternative și scenarii de dezvoltare menite să maximizeze potențialul local și să răspundă nevoilor specifice ale comunității. Aceasta prioritizează proiectele și programele în funcție de resursele disponibile și de necesitățile reale ale locuitorilor, asigurând o utilizare eficientă și responsabilă a fondurilor publice și private.</w:t>
      </w:r>
    </w:p>
    <w:p w14:paraId="1B1D8B68">
      <w:pPr>
        <w:rPr>
          <w:rFonts w:cs="Arial"/>
          <w:sz w:val="22"/>
          <w:lang w:val="ro-RO"/>
        </w:rPr>
      </w:pPr>
      <w:r>
        <w:rPr>
          <w:rFonts w:cs="Arial"/>
          <w:sz w:val="22"/>
          <w:lang w:val="ro-RO"/>
        </w:rPr>
        <w:t>Scopul principal al strategiei este de a analiza în mod structurat și coerent oportunitățile și capacitățile administrației locale de a iniția, implementa și susține obiectivele de dezvoltare adaptate contextului actual al comunei. Documentul se bazează pe o evaluare detaliată a caracteristicilor comunei Șimian, inclusiv o analiză socio-economică aprofundată care include resursele locale, structura pieței muncii, profilul și nevoile populației, precum și domeniile prioritare precum turismul, cultura, investițiile, infrastructura și sănătatea.</w:t>
      </w:r>
    </w:p>
    <w:p w14:paraId="5779CAA7">
      <w:pPr>
        <w:rPr>
          <w:rFonts w:cs="Arial"/>
          <w:sz w:val="22"/>
          <w:lang w:val="ro-RO"/>
        </w:rPr>
      </w:pPr>
      <w:r>
        <w:rPr>
          <w:rFonts w:cs="Arial"/>
          <w:sz w:val="22"/>
          <w:lang w:val="ro-RO"/>
        </w:rPr>
        <w:t>Pornind de la aceste elemente, strategia stabilește scopuri clare, obiective specifice și un portofoliu de proiecte și programe care să valorifice avantajele locale — cum ar fi poziția geografică strategică, patrimoniul cultural și natural, infrastructura existentă — și să minimizeze vulnerabilitățile, inclusiv riscurile naturale (inundații, condiții meteo severe) și constrângerile financiare.</w:t>
      </w:r>
    </w:p>
    <w:p w14:paraId="76605982">
      <w:pPr>
        <w:rPr>
          <w:rFonts w:cs="Arial"/>
          <w:sz w:val="22"/>
          <w:lang w:val="ro-RO"/>
        </w:rPr>
      </w:pPr>
      <w:r>
        <w:rPr>
          <w:rFonts w:cs="Arial"/>
          <w:sz w:val="22"/>
          <w:lang w:val="ro-RO"/>
        </w:rPr>
        <w:t>De asemenea, strategia anticipează și integrează oportunitățile viitoare, precum atragerea de investitori, dezvoltarea turismului sustenabil și promovarea surselor regenerabile de energie, în vederea unei dezvoltări durabile și echilibrate a comunei.</w:t>
      </w:r>
    </w:p>
    <w:p w14:paraId="6956BF31">
      <w:pPr>
        <w:rPr>
          <w:rFonts w:cs="Arial"/>
          <w:sz w:val="22"/>
          <w:lang w:val="ro-RO"/>
        </w:rPr>
      </w:pPr>
      <w:r>
        <w:rPr>
          <w:rFonts w:cs="Arial"/>
          <w:sz w:val="22"/>
          <w:lang w:val="ro-RO"/>
        </w:rPr>
        <w:t>În contextul politicilor europene dedicate reducerii disparităților regionale și sprijinirii zonelor mai puțin dezvoltate, strategia Șimian valorifică accesul la fondurile structurale și de coeziune, subliniind necesitatea unor proiecte bine fundamentate, eficiente și cu impact real asupra creșterii economice și îmbunătățirii calității vieții.</w:t>
      </w:r>
    </w:p>
    <w:p w14:paraId="30057439">
      <w:pPr>
        <w:rPr>
          <w:rFonts w:cs="Arial"/>
          <w:sz w:val="22"/>
          <w:lang w:val="ro-RO"/>
        </w:rPr>
      </w:pPr>
      <w:r>
        <w:rPr>
          <w:rFonts w:cs="Arial"/>
          <w:sz w:val="22"/>
          <w:lang w:val="ro-RO"/>
        </w:rPr>
        <w:t>Astfel, Strategia de Dezvoltare Locală a Comunei Șimian asigură o ierarhizare clară a investițiilor, orientând resursele spre inițiative prioritare care să genereze valoare adăugată maximă și să contribuie la dezvoltarea durabilă și prosperă a comunității pe termen mediu și lung.</w:t>
      </w:r>
    </w:p>
    <w:p w14:paraId="28609C46">
      <w:pPr>
        <w:rPr>
          <w:rFonts w:cs="Arial"/>
          <w:sz w:val="22"/>
          <w:lang w:val="ro-RO"/>
        </w:rPr>
      </w:pPr>
      <w:bookmarkStart w:id="5" w:name="OLE_LINK7"/>
      <w:r>
        <w:rPr>
          <w:rFonts w:cs="Arial"/>
          <w:sz w:val="22"/>
          <w:lang w:val="ro-RO"/>
        </w:rPr>
        <w:t>Metodologia SDL Șimian 2027 asigură o abordare participativă și adaptată la fondurile UE, transformând potențialul local în proiecte concrete. Prin integrarea patrimoniului natural, digitalizare și economie verde, comuna devine un model de dezvoltare rurală integrată în regiunea Sud-Vest Oltenia.</w:t>
      </w:r>
    </w:p>
    <w:bookmarkEnd w:id="5"/>
    <w:p w14:paraId="0DA6D303">
      <w:pPr>
        <w:ind w:firstLine="0"/>
        <w:rPr>
          <w:rFonts w:cs="Arial"/>
          <w:sz w:val="22"/>
          <w:lang w:val="ro-RO"/>
        </w:rPr>
      </w:pPr>
    </w:p>
    <w:p w14:paraId="0FC09D92">
      <w:pPr>
        <w:rPr>
          <w:rFonts w:cs="Arial"/>
          <w:sz w:val="22"/>
          <w:lang w:val="ro-RO"/>
        </w:rPr>
      </w:pPr>
      <w:r>
        <w:rPr>
          <w:rFonts w:cs="Arial"/>
          <w:sz w:val="22"/>
          <w:lang w:val="ro-RO"/>
        </w:rPr>
        <w:t xml:space="preserve"> </w:t>
      </w:r>
      <w:bookmarkStart w:id="6" w:name="OLE_LINK9"/>
      <w:r>
        <w:rPr>
          <w:rFonts w:cs="Arial"/>
          <w:sz w:val="22"/>
          <w:lang w:val="ro-RO"/>
        </w:rPr>
        <w:t xml:space="preserve">Metodologia folosită în elaborarea Strategiei respectă următoarele principii: </w:t>
      </w:r>
    </w:p>
    <w:p w14:paraId="6B69968B">
      <w:pPr>
        <w:rPr>
          <w:rFonts w:cs="Arial"/>
          <w:sz w:val="22"/>
          <w:lang w:val="ro-RO"/>
        </w:rPr>
      </w:pPr>
      <w:r>
        <w:rPr>
          <w:rFonts w:cs="Arial"/>
          <w:sz w:val="22"/>
          <w:lang w:val="ro-RO"/>
        </w:rPr>
        <w:t xml:space="preserve">- validitate ştiinţifică – procesul de elaborare a documentului trebuie să respecte cerinţele tehnice ale planificării strategice; </w:t>
      </w:r>
    </w:p>
    <w:p w14:paraId="4CC14EA7">
      <w:pPr>
        <w:rPr>
          <w:rFonts w:cs="Arial"/>
          <w:sz w:val="22"/>
          <w:lang w:val="ro-RO"/>
        </w:rPr>
      </w:pPr>
      <w:r>
        <w:rPr>
          <w:rFonts w:cs="Arial"/>
          <w:sz w:val="22"/>
          <w:lang w:val="ro-RO"/>
        </w:rPr>
        <w:t xml:space="preserve">- principiul coerenţei – acesta se referă la corelarea strategiei locale cu documentele de planificare de rang superior precum şi cu documente locale; </w:t>
      </w:r>
    </w:p>
    <w:p w14:paraId="2EF335C2">
      <w:pPr>
        <w:rPr>
          <w:rFonts w:cs="Arial"/>
          <w:sz w:val="22"/>
          <w:lang w:val="ro-RO"/>
        </w:rPr>
      </w:pPr>
      <w:r>
        <w:rPr>
          <w:rFonts w:cs="Arial"/>
          <w:sz w:val="22"/>
          <w:lang w:val="ro-RO"/>
        </w:rPr>
        <w:t xml:space="preserve">- principiul parteneriatului – dezvoltarea unei relaţii de colaborare între administraţie şi membrii comunităţii locale, element deosebit de important atât în etapa de elaborare a strategiei cât si în cea de implementare; </w:t>
      </w:r>
    </w:p>
    <w:p w14:paraId="43622C31">
      <w:pPr>
        <w:rPr>
          <w:rFonts w:cs="Arial"/>
          <w:sz w:val="22"/>
          <w:lang w:val="ro-RO"/>
        </w:rPr>
      </w:pPr>
      <w:r>
        <w:rPr>
          <w:rFonts w:cs="Arial"/>
          <w:sz w:val="22"/>
          <w:lang w:val="ro-RO"/>
        </w:rPr>
        <w:t xml:space="preserve">- implicarea comunităţii - procesul trebuie să fie deschis tuturor celor interesaţi din comunitate; </w:t>
      </w:r>
    </w:p>
    <w:p w14:paraId="2846300A">
      <w:pPr>
        <w:rPr>
          <w:rFonts w:cs="Arial"/>
          <w:sz w:val="22"/>
          <w:lang w:val="ro-RO"/>
        </w:rPr>
      </w:pPr>
      <w:r>
        <w:rPr>
          <w:rFonts w:cs="Arial"/>
          <w:sz w:val="22"/>
          <w:lang w:val="ro-RO"/>
        </w:rPr>
        <w:t xml:space="preserve">- transparență și obiectivitate - procesul trebuie să fie transparent şi să reflecte interesele comunităţii ca întreg; </w:t>
      </w:r>
    </w:p>
    <w:p w14:paraId="27ADBA1D">
      <w:pPr>
        <w:rPr>
          <w:rFonts w:cs="Arial"/>
          <w:sz w:val="22"/>
          <w:lang w:val="ro-RO"/>
        </w:rPr>
      </w:pPr>
      <w:r>
        <w:rPr>
          <w:rFonts w:cs="Arial"/>
          <w:sz w:val="22"/>
          <w:lang w:val="ro-RO"/>
        </w:rPr>
        <w:t xml:space="preserve">- coerență și continuitate - construcţia documentului de planificare nu înseamnă finalizarea procesului strategic; acest document trebuie să rămână deschis ideilor și completărilor viitoare (adaptarea periodică a documentului în funcţie de modificările care se produc la nivelul comunităţii). </w:t>
      </w:r>
    </w:p>
    <w:p w14:paraId="06285491">
      <w:pPr>
        <w:rPr>
          <w:rFonts w:cs="Arial"/>
          <w:sz w:val="22"/>
          <w:lang w:val="ro-RO"/>
        </w:rPr>
      </w:pPr>
      <w:r>
        <w:rPr>
          <w:rFonts w:cs="Arial"/>
          <w:sz w:val="22"/>
          <w:lang w:val="ro-RO"/>
        </w:rPr>
        <w:t>Viziunea de dezvoltare a Comunei Șimian trebuie să reflecte implementarea unor politici eficiente care să aducă beneficii concrete atât comunității locale, cât și fiecărui locuitor, fiind orientate către standarde și valori europene. În acest context, Comuna Șimian urmărește să devină un model de comună modernă, cu performanțe ridicate în toate domeniile cheie – infrastructură, industrie, agricultură, servicii publice și comerciale, resurse umane, asistență socială, educație, sănătate și siguranță civică – și să valorifice potențialul local pentru o participare activă și influență la nivel regional.</w:t>
      </w:r>
    </w:p>
    <w:p w14:paraId="5440EE7B">
      <w:pPr>
        <w:rPr>
          <w:rFonts w:cs="Arial"/>
          <w:sz w:val="22"/>
          <w:lang w:val="ro-RO"/>
        </w:rPr>
      </w:pPr>
      <w:r>
        <w:rPr>
          <w:rFonts w:cs="Arial"/>
          <w:sz w:val="22"/>
          <w:lang w:val="ro-RO"/>
        </w:rPr>
        <w:t>Prin atragerea de resurse publice și private, Comuna Șimian își propune să inițieze, să susțină și să materializeze proiecte de investiții relevante, consolidându-și poziția ca actor local important. Fiecare comunitate are particularități care o deosebesc de altele similare, iar planificarea strategică trebuie să țină cont de aceste trăsături specifice. Astfel, este esențial să identificăm: ce diferențiază Comuna Șimian de alte comune din județul Mehedinți, din România și din regiunea Europei Centrale și de Est, precum și care sunt elementele strategice pozitive și negative care pot fi evidențiate la nivel local.</w:t>
      </w:r>
    </w:p>
    <w:p w14:paraId="36938A72">
      <w:pPr>
        <w:rPr>
          <w:rFonts w:cs="Arial"/>
          <w:sz w:val="22"/>
          <w:lang w:val="ro-RO"/>
        </w:rPr>
      </w:pPr>
      <w:r>
        <w:rPr>
          <w:rFonts w:cs="Arial"/>
          <w:sz w:val="22"/>
          <w:lang w:val="ro-RO"/>
        </w:rPr>
        <w:t>Analiza fizionomiei comunei presupune evaluarea atât a aspectului exterior, cât și a structurii rețelei de drumuri, a densității locuințelor și a construcțiilor în ansamblu, sub impactul factorilor fizico-geografici și economico-sociali.</w:t>
      </w:r>
    </w:p>
    <w:bookmarkEnd w:id="6"/>
    <w:p w14:paraId="688EC25A">
      <w:pPr>
        <w:rPr>
          <w:rFonts w:cs="Arial"/>
          <w:sz w:val="22"/>
          <w:lang w:val="ro-RO"/>
        </w:rPr>
      </w:pPr>
      <w:r>
        <w:rPr>
          <w:rFonts w:cs="Arial"/>
          <w:sz w:val="22"/>
          <w:lang w:val="ro-RO"/>
        </w:rPr>
        <w:t xml:space="preserve">Astfel, topografia reliefului incluzând izolarea sau legătura cu aşezările vecine, dar şi tradiţiile au o influenţă hotărâtoare asupra aspectului general al comunei. Comuna Șimian este alcătuită din  8 sate: Șimian, Cerneți, Dudașu, Dedovița Nouă, Dedovița Veche, Erghevița, Poroina, și Valea Copcii Sistemul aşezărilor rurale determină structura teritorială a producţiei materiale şi oferă premise pentru dezvoltarea ulterioară a producţiei, respectiv zone de amplasare a unităţilor economice, resurse de muncă şi infrastructură socială. Forma exterioară este datorată suprafeţei topografice pe care s-au dezvoltat, precum şi condiţiilor istorice. </w:t>
      </w:r>
    </w:p>
    <w:p w14:paraId="5A29138D">
      <w:pPr>
        <w:rPr>
          <w:rFonts w:cs="Arial"/>
          <w:sz w:val="22"/>
          <w:lang w:val="ro-RO"/>
        </w:rPr>
      </w:pPr>
      <w:r>
        <w:rPr>
          <w:rFonts w:cs="Arial"/>
          <w:sz w:val="22"/>
          <w:lang w:val="ro-RO"/>
        </w:rPr>
        <w:t>Funcția economică a comunei Șimian are un caracter complex și presupune o diversitate de activități, reflectând transformarea spațiului rural dintr-o zonă preponderent agricolă într-o structură economică diversificată, cu implicații sociale multiple. Aceasta înseamnă nu doar crearea de oportunități de angajare în agricultură, ci și dezvoltarea unor activități non-agricole conexe, care să contribuie la stabilitatea populației și, în special, la menținerea tinerilor în comunitate. Prin diversificarea ofertei de activități economice, se asigură surse suplimentare de venit pentru locuitorii din mediul rural și se valorifică mai eficient timpul de muncă parțial al populației active, inclusiv prin promovarea asocierii intercomunitare și a utilizării eficiente a terenurilor intravilane și extravilane.</w:t>
      </w:r>
    </w:p>
    <w:p w14:paraId="74DFE55C">
      <w:pPr>
        <w:rPr>
          <w:rFonts w:cs="Arial"/>
          <w:sz w:val="22"/>
          <w:lang w:val="ro-RO"/>
        </w:rPr>
      </w:pPr>
      <w:r>
        <w:rPr>
          <w:rFonts w:cs="Arial"/>
          <w:sz w:val="22"/>
          <w:lang w:val="ro-RO"/>
        </w:rPr>
        <w:t>Un instrument esențial pentru asigurarea unei dezvoltări durabile și coerente îl reprezintă Planul Urbanistic General, care este revizuit și actualizat astfel încât dezvoltarea locală să protejeze mediul, să prevină dezechilibrele sociale și să păstreze specificul arhitectural tradițional al comunei. Strategia de dezvoltare locală oferă cadrul pentru construirea unui viitor mai bun pentru întreaga comunitate, un viitor în care fiecare locuitor își poate găsi un loc pe piața muncii, poate accesa locuința dorită, beneficiază de servicii sociale de calitate și se bucură de spații publice moderne pentru recreere și relaxare.</w:t>
      </w:r>
    </w:p>
    <w:p w14:paraId="70422BC9">
      <w:pPr>
        <w:rPr>
          <w:rFonts w:cs="Arial"/>
          <w:sz w:val="22"/>
          <w:lang w:val="ro-RO"/>
        </w:rPr>
      </w:pPr>
      <w:r>
        <w:rPr>
          <w:rFonts w:cs="Arial"/>
          <w:sz w:val="22"/>
          <w:lang w:val="ro-RO"/>
        </w:rPr>
        <w:t>Succesul implementării acestei strategii depinde de implicarea și determinarea administrației și a comunității locale, obiectivul final fiind transformarea comunei Șimian într-o localitate ospitalieră, mai curată, mai sigură și mai atractivă pentru toți locuitorii săi.</w:t>
      </w:r>
    </w:p>
    <w:p w14:paraId="3A9A2D60">
      <w:pPr>
        <w:rPr>
          <w:rFonts w:cs="Arial"/>
          <w:sz w:val="22"/>
          <w:lang w:val="ro-RO"/>
        </w:rPr>
      </w:pPr>
      <w:r>
        <w:rPr>
          <w:rFonts w:cs="Arial"/>
          <w:sz w:val="22"/>
          <w:lang w:val="ro-RO"/>
        </w:rPr>
        <w:t xml:space="preserve">În urma analizelor şi consultarilor organizate a fost creionată o viziune de dezvoltare a comunei pornind de la următoarele elemente: importanţa regională a comunei, afirmarea comunei ca centru de inovaţie şi oportunităţi, importanţa contrucţiei unei comunităţi primitoare, a unui mediu local plăcut pentru locuitori şi pentru vizitatori (creşterea calităţii vieţii), afirmarea Comunei ȘIMIAN ca şi comunitate financiar-economică, necesitatea structurării unei administraţii locale eficiente, eficace, transparente şi responsabile la nevoile comunităţii, importanţa activismului la nivelul cetătenilor, ca factor de stimulare a dezvoltării comunitare şi dezvoltarea unui mediu de afaceri bazat pe antreprenoriat, dinamism şi implicare în viaţa comunităţii. </w:t>
      </w:r>
    </w:p>
    <w:p w14:paraId="425736D3">
      <w:pPr>
        <w:rPr>
          <w:rFonts w:cs="Arial"/>
          <w:sz w:val="22"/>
          <w:lang w:val="ro-RO"/>
        </w:rPr>
      </w:pPr>
      <w:r>
        <w:rPr>
          <w:rFonts w:cs="Arial"/>
          <w:sz w:val="22"/>
          <w:lang w:val="ro-RO"/>
        </w:rPr>
        <w:t>Etapele metodologice principale ale Procesul de Planificare Strategică sunt următoarele:</w:t>
      </w:r>
    </w:p>
    <w:p w14:paraId="349E81D4">
      <w:pPr>
        <w:ind w:firstLine="0"/>
        <w:rPr>
          <w:rFonts w:cs="Arial"/>
          <w:sz w:val="22"/>
          <w:lang w:val="ro-RO"/>
        </w:rPr>
      </w:pPr>
    </w:p>
    <w:p w14:paraId="1C6A4911">
      <w:pPr>
        <w:pStyle w:val="37"/>
        <w:numPr>
          <w:ilvl w:val="0"/>
          <w:numId w:val="2"/>
        </w:numP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r>
        <w:rPr>
          <w:rFonts w:cs="Arial"/>
          <w:b/>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Realizarea analizei preliminare</w:t>
      </w:r>
      <w: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 xml:space="preserve">. </w:t>
      </w:r>
    </w:p>
    <w:p w14:paraId="006F239E">
      <w:pPr>
        <w:rPr>
          <w:rFonts w:cs="Arial"/>
          <w:sz w:val="22"/>
          <w:lang w:val="ro-RO"/>
        </w:rPr>
      </w:pPr>
      <w:r>
        <w:rPr>
          <w:rFonts w:cs="Arial"/>
          <w:sz w:val="22"/>
          <w:lang w:val="ro-RO"/>
        </w:rPr>
        <w:t xml:space="preserve">Planificarea strategică presupune o analiză preliminară a caracteristicilor comunităţii vizate. Această analiză cuprinde elemente diverse: </w:t>
      </w:r>
    </w:p>
    <w:p w14:paraId="42B604B1">
      <w:pPr>
        <w:rPr>
          <w:rFonts w:cs="Arial"/>
          <w:sz w:val="22"/>
          <w:lang w:val="ro-RO"/>
        </w:rPr>
      </w:pPr>
      <w:r>
        <w:rPr>
          <w:rFonts w:cs="Arial"/>
          <w:sz w:val="22"/>
          <w:lang w:val="ro-RO"/>
        </w:rPr>
        <w:t xml:space="preserve">• elemente de istorie a comunităţii; </w:t>
      </w:r>
    </w:p>
    <w:p w14:paraId="5BDEDF27">
      <w:pPr>
        <w:rPr>
          <w:rFonts w:cs="Arial"/>
          <w:sz w:val="22"/>
          <w:lang w:val="ro-RO"/>
        </w:rPr>
      </w:pPr>
      <w:r>
        <w:rPr>
          <w:rFonts w:cs="Arial"/>
          <w:sz w:val="22"/>
          <w:lang w:val="ro-RO"/>
        </w:rPr>
        <w:t xml:space="preserve">• analiza de mediu (fişa de localitate, elemente socio-economice, elemente de infrastructură, etc); </w:t>
      </w:r>
    </w:p>
    <w:p w14:paraId="25C06338">
      <w:pPr>
        <w:rPr>
          <w:rFonts w:cs="Arial"/>
          <w:sz w:val="22"/>
          <w:lang w:val="ro-RO"/>
        </w:rPr>
      </w:pPr>
      <w:r>
        <w:rPr>
          <w:rFonts w:cs="Arial"/>
          <w:sz w:val="22"/>
          <w:lang w:val="ro-RO"/>
        </w:rPr>
        <w:t>• analiza cadrului strategic la nivel naţional, regional şi judeţean. Principala misiune a analizei preliminare se referă la structurarea mediului în care se plasează comunitatea şi la identificarea capacităţilor reale deţinute de aceasta.</w:t>
      </w:r>
    </w:p>
    <w:p w14:paraId="58BA7432">
      <w:pPr>
        <w:rPr>
          <w:rFonts w:cs="Arial"/>
          <w:sz w:val="22"/>
          <w:lang w:val="ro-RO"/>
        </w:rPr>
      </w:pPr>
    </w:p>
    <w:p w14:paraId="12A8543D">
      <w:pPr>
        <w:pStyle w:val="37"/>
        <w:numPr>
          <w:ilvl w:val="0"/>
          <w:numId w:val="2"/>
        </w:numP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r>
        <w:rPr>
          <w:rFonts w:cs="Arial"/>
          <w:b/>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Stabilirea viziunii asupra dezvoltării strategice a comunităţii</w:t>
      </w:r>
      <w: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 xml:space="preserve">. </w:t>
      </w:r>
    </w:p>
    <w:p w14:paraId="6EFCEE3B">
      <w:pPr>
        <w:rPr>
          <w:rFonts w:cs="Arial"/>
          <w:sz w:val="22"/>
          <w:lang w:val="ro-RO"/>
        </w:rPr>
      </w:pPr>
      <w:r>
        <w:rPr>
          <w:rFonts w:cs="Arial"/>
          <w:sz w:val="22"/>
          <w:lang w:val="ro-RO"/>
        </w:rPr>
        <w:t>Pasul al doilea se referă la stabilirea unei viziuni asupra dezvoltării strategice a Comunei ȘIMIAN. Această viziune trebuie să ţină seama de elementele principale ale analizei preliminare.</w:t>
      </w:r>
    </w:p>
    <w:p w14:paraId="187486F9">
      <w:pPr>
        <w:rPr>
          <w:rFonts w:cs="Arial"/>
          <w:sz w:val="22"/>
          <w:lang w:val="ro-RO"/>
        </w:rPr>
      </w:pPr>
    </w:p>
    <w:p w14:paraId="48320DA1">
      <w:pPr>
        <w:pStyle w:val="37"/>
        <w:numPr>
          <w:ilvl w:val="0"/>
          <w:numId w:val="2"/>
        </w:numP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r>
        <w:rPr>
          <w:rFonts w:cs="Arial"/>
          <w:b/>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Analiza sectorială a domeniilor strategice principale</w:t>
      </w:r>
      <w: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w:t>
      </w:r>
    </w:p>
    <w:p w14:paraId="01AA6E9F">
      <w:pPr>
        <w:rPr>
          <w:rFonts w:cs="Arial"/>
          <w:sz w:val="22"/>
          <w:lang w:val="ro-RO"/>
        </w:rPr>
      </w:pPr>
      <w:r>
        <w:rPr>
          <w:rFonts w:cs="Arial"/>
          <w:sz w:val="22"/>
          <w:lang w:val="ro-RO"/>
        </w:rPr>
        <w:t xml:space="preserve">Această analiză se realizează pe domenii. În cadrul fiecărui domeniu au fost elaborate sinteze de lucru pe baza cărora au fost organizate dezbateri publice. Domenii strategice principale: </w:t>
      </w:r>
    </w:p>
    <w:p w14:paraId="02626C02">
      <w:pPr>
        <w:rPr>
          <w:rFonts w:cs="Arial"/>
          <w:sz w:val="22"/>
          <w:lang w:val="ro-RO"/>
        </w:rPr>
      </w:pPr>
      <w:r>
        <w:rPr>
          <w:rFonts w:cs="Arial"/>
          <w:sz w:val="22"/>
          <w:lang w:val="ro-RO"/>
        </w:rPr>
        <w:t xml:space="preserve">• dezvoltare şi competitivitate economică; </w:t>
      </w:r>
    </w:p>
    <w:p w14:paraId="14D63C95">
      <w:pPr>
        <w:rPr>
          <w:rFonts w:cs="Arial"/>
          <w:sz w:val="22"/>
          <w:lang w:val="ro-RO"/>
        </w:rPr>
      </w:pPr>
      <w:r>
        <w:rPr>
          <w:rFonts w:cs="Arial"/>
          <w:sz w:val="22"/>
          <w:lang w:val="ro-RO"/>
        </w:rPr>
        <w:t xml:space="preserve">• dezvoltare rurală şi infrastructură (urbanism, transport, mediu etc); </w:t>
      </w:r>
    </w:p>
    <w:p w14:paraId="79DEDEE9">
      <w:pPr>
        <w:rPr>
          <w:rFonts w:cs="Arial"/>
          <w:sz w:val="22"/>
          <w:lang w:val="ro-RO"/>
        </w:rPr>
      </w:pPr>
      <w:r>
        <w:rPr>
          <w:rFonts w:cs="Arial"/>
          <w:sz w:val="22"/>
          <w:lang w:val="ro-RO"/>
        </w:rPr>
        <w:t xml:space="preserve">• dezvoltarea resurselor umane (educaţie, pregătire continuă, relaţia cu unităţile de învăţământ, etc); </w:t>
      </w:r>
    </w:p>
    <w:p w14:paraId="761A9176">
      <w:pPr>
        <w:rPr>
          <w:rFonts w:cs="Arial"/>
          <w:sz w:val="22"/>
          <w:lang w:val="ro-RO"/>
        </w:rPr>
      </w:pPr>
      <w:r>
        <w:rPr>
          <w:rFonts w:cs="Arial"/>
          <w:sz w:val="22"/>
          <w:lang w:val="ro-RO"/>
        </w:rPr>
        <w:t>• dezvoltare comunitară (cultură, tineret, sport, ong-uri, social, sănătate).</w:t>
      </w:r>
    </w:p>
    <w:p w14:paraId="744B5D91">
      <w:pPr>
        <w:ind w:firstLine="0"/>
        <w:rPr>
          <w:rFonts w:cs="Arial"/>
          <w:sz w:val="22"/>
          <w:lang w:val="ro-RO"/>
        </w:rPr>
      </w:pPr>
      <w:r>
        <w:rPr>
          <w:rFonts w:cs="Arial"/>
          <w:sz w:val="22"/>
          <w:lang w:val="ro-RO"/>
        </w:rPr>
        <w:t xml:space="preserve">Metodologia presupune următoarele elemente principale: </w:t>
      </w:r>
    </w:p>
    <w:p w14:paraId="0A516DB4">
      <w:pPr>
        <w:rPr>
          <w:rFonts w:cs="Arial"/>
          <w:sz w:val="22"/>
          <w:lang w:val="ro-RO"/>
        </w:rPr>
      </w:pPr>
      <w:r>
        <w:rPr>
          <w:rFonts w:cs="Arial"/>
          <w:sz w:val="22"/>
          <w:lang w:val="ro-RO"/>
        </w:rPr>
        <w:t xml:space="preserve">• analiza SWOT (puncte slabe, puncte tari, oportunităţi, ameninţări); </w:t>
      </w:r>
    </w:p>
    <w:p w14:paraId="70EA46C3">
      <w:pPr>
        <w:rPr>
          <w:rFonts w:cs="Arial"/>
          <w:sz w:val="22"/>
          <w:lang w:val="ro-RO"/>
        </w:rPr>
      </w:pPr>
      <w:r>
        <w:rPr>
          <w:rFonts w:cs="Arial"/>
          <w:sz w:val="22"/>
          <w:lang w:val="ro-RO"/>
        </w:rPr>
        <w:t xml:space="preserve">• identificarea problemelor strategice pe baza analizei SWOT; </w:t>
      </w:r>
    </w:p>
    <w:p w14:paraId="66A9A5C4">
      <w:pPr>
        <w:rPr>
          <w:rFonts w:cs="Arial"/>
          <w:sz w:val="22"/>
          <w:lang w:val="ro-RO"/>
        </w:rPr>
      </w:pPr>
      <w:r>
        <w:rPr>
          <w:rFonts w:cs="Arial"/>
          <w:sz w:val="22"/>
          <w:lang w:val="ro-RO"/>
        </w:rPr>
        <w:t xml:space="preserve">• elaborarea de strategii sectoriale care să răspundă problemelor strategice identificate; </w:t>
      </w:r>
    </w:p>
    <w:p w14:paraId="15494505">
      <w:pPr>
        <w:rPr>
          <w:rFonts w:cs="Arial"/>
          <w:sz w:val="22"/>
          <w:lang w:val="ro-RO"/>
        </w:rPr>
      </w:pPr>
      <w:r>
        <w:rPr>
          <w:rFonts w:cs="Arial"/>
          <w:sz w:val="22"/>
          <w:lang w:val="ro-RO"/>
        </w:rPr>
        <w:t>• modalităţi de evaluare a rezultatelor pe termen mediu şi lung.</w:t>
      </w:r>
    </w:p>
    <w:p w14:paraId="555884B1">
      <w:pPr>
        <w:rPr>
          <w:rFonts w:cs="Arial"/>
          <w:sz w:val="22"/>
          <w:lang w:val="ro-RO"/>
        </w:rPr>
      </w:pPr>
      <w:r>
        <w:rPr>
          <w:rFonts w:cs="Arial"/>
          <w:sz w:val="22"/>
          <w:lang w:val="ro-RO"/>
        </w:rPr>
        <w:t xml:space="preserve"> Toate sintezele de lucru au fost supuse dezbaterii publice, la care au fost invitate să ia parte toate părţile interesate. Sintezele au fost modificate pe baza acestor dezbateri publice, pentru că ele trebuie să reflecte realitatea şi să reprezinte dorinţele şi interesele comunităţii.</w:t>
      </w:r>
    </w:p>
    <w:p w14:paraId="26B5E823">
      <w:pPr>
        <w:pStyle w:val="37"/>
        <w:numPr>
          <w:ilvl w:val="0"/>
          <w:numId w:val="2"/>
        </w:numP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r>
        <w:rPr>
          <w:rFonts w:cs="Arial"/>
          <w:b/>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Actualizarea documentului strategic.</w:t>
      </w:r>
      <w: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t xml:space="preserve"> </w:t>
      </w:r>
    </w:p>
    <w:p w14:paraId="3EB83DF0">
      <w:pPr>
        <w:pStyle w:val="52"/>
        <w:spacing w:after="0" w:line="360" w:lineRule="auto"/>
        <w:rPr>
          <w:rFonts w:ascii="Arial" w:hAnsi="Arial" w:cs="Arial"/>
          <w:szCs w:val="22"/>
          <w:lang w:val="ro-RO"/>
        </w:rPr>
      </w:pPr>
      <w:r>
        <w:rPr>
          <w:rFonts w:ascii="Arial" w:hAnsi="Arial" w:cs="Arial"/>
          <w:szCs w:val="22"/>
          <w:lang w:val="ro-RO"/>
        </w:rPr>
        <w:t>Acest document strategic principal a fost actualizat în urma definirii strategiilor sectoriale bazate pe sintezele de lucru. Acesta este necesar să fie analizat de Consiliul Local, de partidele politice şi de societatea civilă din Comuna ȘIMIAN, forma lui finală putând fi asumată ca document de planificare strategică pentru comunitate.</w:t>
      </w:r>
    </w:p>
    <w:p w14:paraId="331FC076">
      <w:pPr>
        <w:pStyle w:val="52"/>
        <w:spacing w:after="0" w:line="360" w:lineRule="auto"/>
        <w:rPr>
          <w:rFonts w:ascii="Arial" w:hAnsi="Arial" w:cs="Arial"/>
          <w:szCs w:val="22"/>
          <w:lang w:val="ro-RO"/>
        </w:rPr>
      </w:pPr>
      <w:r>
        <w:rPr>
          <w:rFonts w:ascii="Arial" w:hAnsi="Arial" w:cs="Arial"/>
          <w:szCs w:val="22"/>
          <w:lang w:val="ro-RO"/>
        </w:rPr>
        <w:t>Strategia de Dezvoltare Locală va fi instrumentul de lucru al administraţiei publice locale care va orienta gândirea, decizia şi acţiunea către obiectivele superioare sau către premisele obiectivelor, fără ca pe parcurs să existe abateri datorate urgenţelor sau avantajelor şi dezavantajelor ce pot interveni în anumite momente.</w:t>
      </w:r>
      <w:bookmarkEnd w:id="4"/>
    </w:p>
    <w:bookmarkEnd w:id="3"/>
    <w:p w14:paraId="2B600E5B">
      <w:pPr>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p>
    <w:p w14:paraId="3D6582F2">
      <w:pPr>
        <w:pStyle w:val="3"/>
        <w:numPr>
          <w:ilvl w:val="1"/>
          <w:numId w:val="1"/>
        </w:numPr>
        <w:rPr>
          <w:rFonts w:cs="Arial"/>
          <w:sz w:val="22"/>
          <w:szCs w:val="22"/>
          <w:lang w:val="ro-RO"/>
        </w:rPr>
      </w:pPr>
      <w:bookmarkStart w:id="7" w:name="_Toc201926293"/>
      <w:r>
        <w:rPr>
          <w:rFonts w:cs="Arial"/>
          <w:sz w:val="22"/>
          <w:szCs w:val="22"/>
          <w:lang w:val="ro-RO"/>
        </w:rPr>
        <w:t>Contextul european</w:t>
      </w:r>
      <w:bookmarkEnd w:id="7"/>
    </w:p>
    <w:p w14:paraId="6C07BAA1">
      <w:pPr>
        <w:rPr>
          <w:rFonts w:cs="Arial"/>
          <w:sz w:val="22"/>
          <w:lang w:val="ro-RO"/>
        </w:rPr>
      </w:pPr>
      <w:r>
        <w:rPr>
          <w:rFonts w:cs="Arial"/>
          <w:sz w:val="22"/>
          <w:lang w:val="ro-RO"/>
        </w:rPr>
        <w:t>Arhitectura programelor operaționale, prin intermediul cărora va fi administrat bugetul alocat României în perioada 2021-2027 va fi semnificativ modificată față de actualul sistem.</w:t>
      </w:r>
    </w:p>
    <w:p w14:paraId="7F8FAB32">
      <w:pPr>
        <w:rPr>
          <w:rFonts w:cs="Arial"/>
          <w:sz w:val="22"/>
          <w:lang w:val="ro-RO"/>
        </w:rPr>
      </w:pPr>
      <w:r>
        <w:rPr>
          <w:rFonts w:cs="Arial"/>
          <w:sz w:val="22"/>
          <w:lang w:val="ro-RO"/>
        </w:rPr>
        <w:t xml:space="preserve"> </w:t>
      </w:r>
      <w:r>
        <w:rPr>
          <w:rFonts w:cs="Arial"/>
          <w:sz w:val="22"/>
          <w:lang w:val="ro-RO" w:eastAsia="en-GB"/>
        </w:rPr>
        <w:drawing>
          <wp:inline distT="0" distB="0" distL="0" distR="0">
            <wp:extent cx="5791835" cy="337566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a:picLocks noChangeAspect="1"/>
                    </pic:cNvPicPr>
                  </pic:nvPicPr>
                  <pic:blipFill>
                    <a:blip r:embed="rId11"/>
                    <a:srcRect l="38333" t="25334" r="19615" b="17307"/>
                    <a:stretch>
                      <a:fillRect/>
                    </a:stretch>
                  </pic:blipFill>
                  <pic:spPr>
                    <a:xfrm>
                      <a:off x="0" y="0"/>
                      <a:ext cx="5930567" cy="3456398"/>
                    </a:xfrm>
                    <a:prstGeom prst="rect">
                      <a:avLst/>
                    </a:prstGeom>
                    <a:ln>
                      <a:noFill/>
                    </a:ln>
                  </pic:spPr>
                </pic:pic>
              </a:graphicData>
            </a:graphic>
          </wp:inline>
        </w:drawing>
      </w:r>
    </w:p>
    <w:p w14:paraId="45A78EFB">
      <w:pPr>
        <w:rPr>
          <w:rFonts w:cs="Arial"/>
          <w:sz w:val="22"/>
          <w:lang w:val="ro-RO"/>
        </w:rPr>
      </w:pPr>
    </w:p>
    <w:p w14:paraId="482509BA">
      <w:pPr>
        <w:rPr>
          <w:rFonts w:cs="Arial"/>
          <w:sz w:val="22"/>
          <w:lang w:val="ro-RO"/>
        </w:rPr>
      </w:pPr>
      <w:r>
        <w:rPr>
          <w:rFonts w:cs="Arial"/>
          <w:sz w:val="22"/>
          <w:lang w:val="ro-RO"/>
        </w:rPr>
        <w:t>În cadrul bugetului pe termen lung al UE pentru 2021-2027, Comisia Europeană propune modernizarea politicii de coeziune, principala politică de investiții a UE. Se preconizează cinci priorități investiționale:</w:t>
      </w:r>
    </w:p>
    <w:p w14:paraId="4FF2F68B">
      <w:pPr>
        <w:rPr>
          <w:rFonts w:cs="Arial"/>
          <w:sz w:val="22"/>
          <w:lang w:val="ro-RO"/>
        </w:rPr>
      </w:pPr>
      <w:r>
        <w:rPr>
          <w:rFonts w:cs="Arial"/>
          <w:sz w:val="22"/>
          <w:lang w:val="ro-RO"/>
        </w:rPr>
        <w:t>1. O Europă mai inteligentă, prin inovare, digitalizare, transformare economică și sprijinirea întreprinderilor mici și mijlocii.</w:t>
      </w:r>
    </w:p>
    <w:p w14:paraId="36E90165">
      <w:pPr>
        <w:rPr>
          <w:rFonts w:cs="Arial"/>
          <w:sz w:val="22"/>
          <w:lang w:val="ro-RO"/>
        </w:rPr>
      </w:pPr>
      <w:r>
        <w:rPr>
          <w:rFonts w:cs="Arial"/>
          <w:sz w:val="22"/>
          <w:lang w:val="ro-RO"/>
        </w:rPr>
        <w:t>2. O Europă mai verde, fără emisii de carbon, punerea în aplicare a Acordului de la Paris și investiții în tranziția energetică, energia din surse regenerabile și combaterea schimbărilor climatice.</w:t>
      </w:r>
    </w:p>
    <w:p w14:paraId="23E763CC">
      <w:pPr>
        <w:rPr>
          <w:rFonts w:cs="Arial"/>
          <w:sz w:val="22"/>
          <w:lang w:val="ro-RO"/>
        </w:rPr>
      </w:pPr>
      <w:r>
        <w:rPr>
          <w:rFonts w:cs="Arial"/>
          <w:sz w:val="22"/>
          <w:lang w:val="ro-RO"/>
        </w:rPr>
        <w:t>3. O Europă conectată, cu rețele strategice de transport și digitale.</w:t>
      </w:r>
    </w:p>
    <w:p w14:paraId="7EEC565B">
      <w:pPr>
        <w:rPr>
          <w:rFonts w:cs="Arial"/>
          <w:sz w:val="22"/>
          <w:lang w:val="ro-RO"/>
        </w:rPr>
      </w:pPr>
      <w:r>
        <w:rPr>
          <w:rFonts w:cs="Arial"/>
          <w:sz w:val="22"/>
          <w:lang w:val="ro-RO"/>
        </w:rPr>
        <w:t>4. O Europă mai socială, pentru realizarea pilonului european al drepturilor sociale și sprijinirea calității locurilor de muncă, a învățământului, a competențelor, a incluziunii sociale și a accesului egal la sistemul de sănătate.</w:t>
      </w:r>
    </w:p>
    <w:p w14:paraId="4BB9EBAD">
      <w:pPr>
        <w:rPr>
          <w:rFonts w:cs="Arial"/>
          <w:sz w:val="22"/>
          <w:lang w:val="ro-RO"/>
        </w:rPr>
      </w:pPr>
      <w:r>
        <w:rPr>
          <w:rFonts w:cs="Arial"/>
          <w:sz w:val="22"/>
          <w:lang w:val="ro-RO"/>
        </w:rPr>
        <w:t>5. O Europă mai apropiată de cetățenii săi, prin sprijinirea strategiilor de dezvoltare conduse la nivel local și a dezvoltării urbane durabile în UE.</w:t>
      </w:r>
    </w:p>
    <w:p w14:paraId="36932730">
      <w:pPr>
        <w:rPr>
          <w:rFonts w:cs="Arial"/>
          <w:sz w:val="22"/>
          <w:lang w:val="ro-RO"/>
        </w:rPr>
      </w:pPr>
      <w:r>
        <w:rPr>
          <w:rFonts w:cs="Arial"/>
          <w:sz w:val="22"/>
          <w:lang w:val="ro-RO"/>
        </w:rPr>
        <w:t>Politica de coeziune continuă investițiile în toate regiunile, pe baza a 3 categorii (mai puțin dezvoltate, în tranziție, mai dezvoltate). Metoda de alocare a fondurile se bazează încă, în mare măsură, pe PIB-ul pe cap de locuitor. Se introduc noi criterii (șomajul în rândul tinerilor, nivel scăzut de educație, schimbări climatice și primirea și integrarea migranților), pentru a reflecta mai bine realitatea de pe teren.</w:t>
      </w:r>
    </w:p>
    <w:p w14:paraId="46532006">
      <w:pPr>
        <w:rPr>
          <w:rFonts w:cs="Arial"/>
          <w:sz w:val="22"/>
          <w:lang w:val="ro-RO"/>
        </w:rPr>
      </w:pPr>
      <w:r>
        <w:rPr>
          <w:rFonts w:cs="Arial"/>
          <w:sz w:val="22"/>
          <w:lang w:val="ro-RO"/>
        </w:rPr>
        <w:t>Regiunile ultraperiferice vor beneficia în continuare de sprijin special de la UE. Politica de coeziune continuă să sprijine strategiile de dezvoltare conduse la nivel local și să autonomizeze gestionarea fondurilor de către autoritățile locale. Crește și dimensiunea urbană a politicii de coeziune, prin alocarea a 6 % din FEDR dezvoltării urbane durabile și printr-un nou program de colaborare în rețea și de consolidare a capacităților dedicat autorităților urbane, sub denumirea Principalele caracteristici ale noului cadru pentru Politica de Coeziune 2021-2027:</w:t>
      </w:r>
    </w:p>
    <w:p w14:paraId="7E0059DF">
      <w:pPr>
        <w:ind w:firstLine="0"/>
        <w:rPr>
          <w:rFonts w:cs="Arial"/>
          <w:sz w:val="22"/>
          <w:lang w:val="ro-RO"/>
        </w:rPr>
      </w:pPr>
      <w:r>
        <w:rPr>
          <w:rFonts w:cs="Arial"/>
          <w:sz w:val="22"/>
          <w:lang w:val="ro-RO"/>
        </w:rPr>
        <w:t>Concentrare tematică</w:t>
      </w:r>
    </w:p>
    <w:p w14:paraId="6E84BC17">
      <w:pPr>
        <w:rPr>
          <w:rFonts w:cs="Arial"/>
          <w:sz w:val="22"/>
          <w:lang w:val="ro-RO"/>
        </w:rPr>
      </w:pPr>
      <w:r>
        <w:rPr>
          <w:rFonts w:cs="Arial"/>
          <w:sz w:val="22"/>
          <w:lang w:val="ro-RO"/>
        </w:rPr>
        <w:t>- 35% din FEDR pentru OP1 (O Europă mai inteligentă);</w:t>
      </w:r>
    </w:p>
    <w:p w14:paraId="7530B6C3">
      <w:pPr>
        <w:rPr>
          <w:rFonts w:cs="Arial"/>
          <w:sz w:val="22"/>
          <w:lang w:val="ro-RO"/>
        </w:rPr>
      </w:pPr>
      <w:r>
        <w:rPr>
          <w:rFonts w:cs="Arial"/>
          <w:sz w:val="22"/>
          <w:lang w:val="ro-RO"/>
        </w:rPr>
        <w:t>- 30% din FEDR pentru OP2 (O Europă mai verde);</w:t>
      </w:r>
    </w:p>
    <w:p w14:paraId="68E05325">
      <w:pPr>
        <w:rPr>
          <w:rFonts w:cs="Arial"/>
          <w:sz w:val="22"/>
          <w:lang w:val="ro-RO"/>
        </w:rPr>
      </w:pPr>
      <w:r>
        <w:rPr>
          <w:rFonts w:cs="Arial"/>
          <w:sz w:val="22"/>
          <w:lang w:val="ro-RO"/>
        </w:rPr>
        <w:t>- FEDR să contribuie cu 30% la obiectivele de schimbări climatice;</w:t>
      </w:r>
    </w:p>
    <w:p w14:paraId="00E29979">
      <w:pPr>
        <w:rPr>
          <w:rFonts w:cs="Arial"/>
          <w:sz w:val="22"/>
          <w:lang w:val="ro-RO"/>
        </w:rPr>
      </w:pPr>
      <w:r>
        <w:rPr>
          <w:rFonts w:cs="Arial"/>
          <w:sz w:val="22"/>
          <w:lang w:val="ro-RO"/>
        </w:rPr>
        <w:t>- FC să contribuie cu 37% la obiectivele de schimbări climatice;</w:t>
      </w:r>
    </w:p>
    <w:p w14:paraId="10266112">
      <w:pPr>
        <w:rPr>
          <w:rFonts w:cs="Arial"/>
          <w:sz w:val="22"/>
          <w:lang w:val="ro-RO"/>
        </w:rPr>
      </w:pPr>
      <w:r>
        <w:rPr>
          <w:rFonts w:cs="Arial"/>
          <w:sz w:val="22"/>
          <w:lang w:val="ro-RO"/>
        </w:rPr>
        <w:t>- Min. 6% din FEDR, pentru dezvoltare urbană;</w:t>
      </w:r>
    </w:p>
    <w:p w14:paraId="2B66A62A">
      <w:pPr>
        <w:rPr>
          <w:rFonts w:cs="Arial"/>
          <w:sz w:val="22"/>
          <w:lang w:val="ro-RO"/>
        </w:rPr>
      </w:pPr>
      <w:r>
        <w:rPr>
          <w:rFonts w:cs="Arial"/>
          <w:sz w:val="22"/>
          <w:lang w:val="ro-RO"/>
        </w:rPr>
        <w:t>- 2% din FSE+ pentru susținerea materială a persoanelor cele mai defavorizate;</w:t>
      </w:r>
    </w:p>
    <w:p w14:paraId="1C016833">
      <w:pPr>
        <w:rPr>
          <w:rFonts w:cs="Arial"/>
          <w:sz w:val="22"/>
          <w:lang w:val="ro-RO"/>
        </w:rPr>
      </w:pPr>
      <w:r>
        <w:rPr>
          <w:rFonts w:cs="Arial"/>
          <w:sz w:val="22"/>
          <w:lang w:val="ro-RO"/>
        </w:rPr>
        <w:t>- 25% din FSE+ pentru incluziune socială;</w:t>
      </w:r>
    </w:p>
    <w:p w14:paraId="7D071A91">
      <w:pPr>
        <w:rPr>
          <w:rFonts w:cs="Arial"/>
          <w:sz w:val="22"/>
          <w:lang w:val="ro-RO"/>
        </w:rPr>
      </w:pPr>
      <w:r>
        <w:rPr>
          <w:rFonts w:cs="Arial"/>
          <w:sz w:val="22"/>
          <w:lang w:val="ro-RO"/>
        </w:rPr>
        <w:t>- 10% din FSE+pentru sprijinul pentru tinerii care nu au un loc de muncă.</w:t>
      </w:r>
    </w:p>
    <w:p w14:paraId="1493316A">
      <w:pPr>
        <w:ind w:firstLine="0"/>
        <w:rPr>
          <w:rFonts w:cs="Arial"/>
          <w:sz w:val="22"/>
          <w:lang w:val="ro-RO"/>
        </w:rPr>
      </w:pPr>
      <w:r>
        <w:rPr>
          <w:rFonts w:cs="Arial"/>
          <w:sz w:val="22"/>
          <w:lang w:val="ro-RO"/>
        </w:rPr>
        <w:t>Aspecte financiare (CFM)</w:t>
      </w:r>
    </w:p>
    <w:p w14:paraId="6DDB6D9F">
      <w:pPr>
        <w:rPr>
          <w:rFonts w:cs="Arial"/>
          <w:sz w:val="22"/>
          <w:lang w:val="ro-RO"/>
        </w:rPr>
      </w:pPr>
      <w:r>
        <w:rPr>
          <w:rFonts w:cs="Arial"/>
          <w:sz w:val="22"/>
          <w:lang w:val="ro-RO"/>
        </w:rPr>
        <w:t>- Forma principală de finanțare – granturile;</w:t>
      </w:r>
    </w:p>
    <w:p w14:paraId="16095CDB">
      <w:pPr>
        <w:rPr>
          <w:rFonts w:cs="Arial"/>
          <w:sz w:val="22"/>
          <w:lang w:val="ro-RO"/>
        </w:rPr>
      </w:pPr>
      <w:r>
        <w:rPr>
          <w:rFonts w:cs="Arial"/>
          <w:sz w:val="22"/>
          <w:lang w:val="ro-RO"/>
        </w:rPr>
        <w:t>- Cofinanțarea la nivel național: 70% pentru regiunile mai puțin dezvoltate și pentru Fondul de Coeziune; 40% pentru regiunile mai dezvoltate;</w:t>
      </w:r>
    </w:p>
    <w:p w14:paraId="003C0D36">
      <w:pPr>
        <w:rPr>
          <w:rFonts w:cs="Arial"/>
          <w:sz w:val="22"/>
          <w:lang w:val="ro-RO"/>
        </w:rPr>
      </w:pPr>
      <w:r>
        <w:rPr>
          <w:rFonts w:cs="Arial"/>
          <w:sz w:val="22"/>
          <w:lang w:val="ro-RO"/>
        </w:rPr>
        <w:t>- Prefinanțare anuală - 0,5% din valoarea totală a sprijinului din partea fondurilor;</w:t>
      </w:r>
    </w:p>
    <w:p w14:paraId="1AD38751">
      <w:pPr>
        <w:rPr>
          <w:rFonts w:cs="Arial"/>
          <w:sz w:val="22"/>
          <w:lang w:val="ro-RO"/>
        </w:rPr>
      </w:pPr>
      <w:r>
        <w:rPr>
          <w:rFonts w:cs="Arial"/>
          <w:sz w:val="22"/>
          <w:lang w:val="ro-RO"/>
        </w:rPr>
        <w:t>- TVA nu este eligibilă pentru o contribuție din partea fondurilor, cu excepția operațiunilor al căror cost total este mai mic de 5000000 euro;</w:t>
      </w:r>
    </w:p>
    <w:p w14:paraId="3FFAF8D5">
      <w:pPr>
        <w:rPr>
          <w:rFonts w:cs="Arial"/>
          <w:sz w:val="22"/>
          <w:lang w:val="ro-RO"/>
        </w:rPr>
      </w:pPr>
      <w:r>
        <w:rPr>
          <w:rFonts w:cs="Arial"/>
          <w:sz w:val="22"/>
          <w:lang w:val="ro-RO"/>
        </w:rPr>
        <w:t>- Dezangajarea - regula „N+2”.</w:t>
      </w:r>
    </w:p>
    <w:p w14:paraId="1A28D368">
      <w:pPr>
        <w:rPr>
          <w:rFonts w:cs="Arial"/>
          <w:sz w:val="22"/>
          <w:lang w:val="ro-RO"/>
        </w:rPr>
      </w:pPr>
      <w:r>
        <w:rPr>
          <w:rFonts w:cs="Arial"/>
          <w:sz w:val="22"/>
          <w:lang w:val="ro-RO"/>
        </w:rPr>
        <w:t>Conform unor documente publicate recent de Ministerul Fondurilor Europene (MFE), următoarea perioadă financiară aduce schimbări importante atât în structura instituțională, cât și în cea strategică.</w:t>
      </w:r>
    </w:p>
    <w:p w14:paraId="2B42EFF5">
      <w:pPr>
        <w:rPr>
          <w:rFonts w:cs="Arial"/>
          <w:sz w:val="22"/>
          <w:lang w:val="ro-RO"/>
        </w:rPr>
      </w:pPr>
      <w:r>
        <w:rPr>
          <w:rFonts w:cs="Arial"/>
          <w:sz w:val="22"/>
          <w:lang w:val="ro-RO"/>
        </w:rPr>
        <w:t>În cadrul politicii de coeziune Ministerul propune 9 tipuri de programe, Programul Operațional Regional urmând a fi gestionat descentralizat la nivelul Agențiilor de Dezvoltare Regională din fiecare dintre cele 8 regiuni ale țării (pe model polonez):</w:t>
      </w:r>
    </w:p>
    <w:p w14:paraId="41FC662A">
      <w:pPr>
        <w:rPr>
          <w:rFonts w:cs="Arial"/>
          <w:sz w:val="22"/>
          <w:lang w:val="ro-RO"/>
        </w:rPr>
      </w:pPr>
      <w:r>
        <w:rPr>
          <w:rFonts w:cs="Arial"/>
          <w:sz w:val="22"/>
          <w:lang w:val="ro-RO"/>
        </w:rPr>
        <w:t>1. Programul Operațional Dezvoltare Durabilă (PODD)</w:t>
      </w:r>
    </w:p>
    <w:p w14:paraId="0AE84323">
      <w:pPr>
        <w:rPr>
          <w:rFonts w:cs="Arial"/>
          <w:sz w:val="22"/>
          <w:lang w:val="ro-RO"/>
        </w:rPr>
      </w:pPr>
      <w:r>
        <w:rPr>
          <w:rFonts w:cs="Arial"/>
          <w:sz w:val="22"/>
          <w:lang w:val="ro-RO"/>
        </w:rPr>
        <w:t>2. Programul Operațional Transport (POT)</w:t>
      </w:r>
    </w:p>
    <w:p w14:paraId="0B643C15">
      <w:pPr>
        <w:rPr>
          <w:rFonts w:cs="Arial"/>
          <w:sz w:val="22"/>
          <w:lang w:val="ro-RO"/>
        </w:rPr>
      </w:pPr>
      <w:r>
        <w:rPr>
          <w:rFonts w:cs="Arial"/>
          <w:sz w:val="22"/>
          <w:lang w:val="ro-RO"/>
        </w:rPr>
        <w:t>3. Programul Operațional Creștere Inteligentă şi Digitalizare (POCID)</w:t>
      </w:r>
    </w:p>
    <w:p w14:paraId="1F61A51B">
      <w:pPr>
        <w:rPr>
          <w:rFonts w:cs="Arial"/>
          <w:sz w:val="22"/>
          <w:lang w:val="ro-RO"/>
        </w:rPr>
      </w:pPr>
      <w:r>
        <w:rPr>
          <w:rFonts w:cs="Arial"/>
          <w:sz w:val="22"/>
          <w:lang w:val="ro-RO"/>
        </w:rPr>
        <w:t>4. Programul Naţional de Sănătate (multifond) (PNS)</w:t>
      </w:r>
    </w:p>
    <w:p w14:paraId="0007CE7C">
      <w:pPr>
        <w:rPr>
          <w:rFonts w:cs="Arial"/>
          <w:sz w:val="22"/>
          <w:lang w:val="ro-RO"/>
        </w:rPr>
      </w:pPr>
      <w:r>
        <w:rPr>
          <w:rFonts w:cs="Arial"/>
          <w:sz w:val="22"/>
          <w:lang w:val="ro-RO"/>
        </w:rPr>
        <w:t>5. Programul Operațional Capital Uman (POCU)</w:t>
      </w:r>
    </w:p>
    <w:p w14:paraId="46891E13">
      <w:pPr>
        <w:rPr>
          <w:rFonts w:cs="Arial"/>
          <w:sz w:val="22"/>
          <w:lang w:val="ro-RO"/>
        </w:rPr>
      </w:pPr>
      <w:r>
        <w:rPr>
          <w:rFonts w:cs="Arial"/>
          <w:sz w:val="22"/>
          <w:lang w:val="ro-RO"/>
        </w:rPr>
        <w:t>6. Programul Operațional Ajutorarea Persoanelor Dezavantajate (POAD)</w:t>
      </w:r>
    </w:p>
    <w:p w14:paraId="15538D22">
      <w:pPr>
        <w:rPr>
          <w:rFonts w:cs="Arial"/>
          <w:sz w:val="22"/>
          <w:lang w:val="ro-RO"/>
        </w:rPr>
      </w:pPr>
      <w:r>
        <w:rPr>
          <w:rFonts w:cs="Arial"/>
          <w:sz w:val="22"/>
          <w:lang w:val="ro-RO"/>
        </w:rPr>
        <w:t>7. Programul Operațional de Dezvoltare Teritoriala Integrată (multifond) (PODTI)</w:t>
      </w:r>
    </w:p>
    <w:p w14:paraId="415A0461">
      <w:pPr>
        <w:rPr>
          <w:rFonts w:cs="Arial"/>
          <w:sz w:val="22"/>
          <w:lang w:val="ro-RO"/>
        </w:rPr>
      </w:pPr>
      <w:r>
        <w:rPr>
          <w:rFonts w:cs="Arial"/>
          <w:sz w:val="22"/>
          <w:lang w:val="ro-RO"/>
        </w:rPr>
        <w:t>8. Programele Operaţionale Regionale – implementate la nivel de regiune (8 POR)</w:t>
      </w:r>
    </w:p>
    <w:p w14:paraId="3566CB77">
      <w:pPr>
        <w:rPr>
          <w:rFonts w:cs="Arial"/>
          <w:sz w:val="22"/>
          <w:lang w:val="ro-RO"/>
        </w:rPr>
      </w:pPr>
      <w:r>
        <w:rPr>
          <w:rFonts w:cs="Arial"/>
          <w:sz w:val="22"/>
          <w:lang w:val="ro-RO"/>
        </w:rPr>
        <w:t>9. Programul Operațional Asistenţă Tehnică (multifond) (POAT)</w:t>
      </w:r>
    </w:p>
    <w:p w14:paraId="43985FFC">
      <w:pPr>
        <w:rPr>
          <w:rFonts w:cs="Arial"/>
          <w:sz w:val="22"/>
          <w:lang w:val="ro-RO"/>
        </w:rPr>
      </w:pPr>
      <w:r>
        <w:rPr>
          <w:rFonts w:cs="Arial"/>
          <w:sz w:val="22"/>
          <w:lang w:val="ro-RO"/>
        </w:rPr>
        <w:t>Actualul Program Operațional Infrastructură Mare (care are cea mai mare alocare financiară în 2014-2020) se va întoarce la structura din 2007 – 2013, intervențiile din domeniul Mediului urmând a fi preluate de Programul Operațional Dezvoltare Durabilă, iar cele din domeniul Transportului urmând a trece sub o Autoritate de Management din cadrul Ministerului de Transport. Se vor crea oportunități separate pentru ITI Delta Dunării și ITI Valea Jiului.</w:t>
      </w:r>
    </w:p>
    <w:p w14:paraId="47A71286">
      <w:pPr>
        <w:rPr>
          <w:rFonts w:cs="Arial"/>
          <w:sz w:val="22"/>
          <w:lang w:val="ro-RO"/>
        </w:rPr>
      </w:pPr>
      <w:r>
        <w:rPr>
          <w:rFonts w:cs="Arial"/>
          <w:sz w:val="22"/>
          <w:lang w:val="ro-RO"/>
        </w:rPr>
        <w:t>În premieră, Fondul Social European nu va mai finanța un Program dedicat creșterii capacității administrative, această intervenție regăsindu-se conform ministerului printre direcțiile viitorului Program Operațional Capital Uman.</w:t>
      </w:r>
    </w:p>
    <w:p w14:paraId="6F7E7F8F">
      <w:pPr>
        <w:rPr>
          <w:rFonts w:cs="Arial"/>
          <w:sz w:val="22"/>
          <w:lang w:val="ro-RO"/>
        </w:rPr>
      </w:pPr>
      <w:r>
        <w:rPr>
          <w:rFonts w:cs="Arial"/>
          <w:sz w:val="22"/>
          <w:lang w:val="ro-RO"/>
        </w:rPr>
        <w:t>Va fi creat un Program Național de Sănătate care ar urma să finanțeze infrastructura pentru 3 spitale regionale (faza 2), construcția și dotarea Institutului National de Hematologie, construcție și dotare pentru un Laborator de Referință Național, precum și alte intervenții în domeniul medical.</w:t>
      </w:r>
    </w:p>
    <w:p w14:paraId="62F08BD4">
      <w:pPr>
        <w:rPr>
          <w:rFonts w:cs="Arial"/>
          <w:sz w:val="22"/>
          <w:lang w:val="ro-RO"/>
        </w:rPr>
      </w:pPr>
      <w:r>
        <w:rPr>
          <w:rFonts w:cs="Arial"/>
          <w:sz w:val="22"/>
          <w:lang w:val="ro-RO"/>
        </w:rPr>
        <w:t xml:space="preserve"> MADR va gestiona în continuare finanțările prin intermediul Politicii Agricole Comune și prin cea a Pescuitului. MAI va gestiona fondurile aferente domeniului afaceri interne (Fondul azil, migrație și integrare, Fondul securitate internă, Instrumentul pentru mangementul frontierei și vize).</w:t>
      </w:r>
    </w:p>
    <w:p w14:paraId="41314006">
      <w:pPr>
        <w:rPr>
          <w:rFonts w:cs="Arial"/>
          <w:sz w:val="22"/>
          <w:lang w:val="ro-RO"/>
        </w:rPr>
      </w:pPr>
      <w:r>
        <w:rPr>
          <w:rFonts w:cs="Arial"/>
          <w:sz w:val="22"/>
          <w:lang w:val="ro-RO"/>
        </w:rPr>
        <w:t xml:space="preserve">Conform propunerii făcute publice de autorități, companiile vor putea accesa în următoarea perioadă financiară granturi/instrumente financiare prin intermediul mai multor programe: </w:t>
      </w:r>
    </w:p>
    <w:p w14:paraId="6DF1CACD">
      <w:pPr>
        <w:rPr>
          <w:rFonts w:cs="Arial"/>
          <w:sz w:val="22"/>
          <w:lang w:val="ro-RO"/>
        </w:rPr>
      </w:pPr>
      <w:r>
        <w:rPr>
          <w:rFonts w:cs="Arial"/>
          <w:sz w:val="22"/>
          <w:lang w:val="ro-RO"/>
        </w:rPr>
        <w:t>Programele operaționale regionale se vor axa pe „smart specialization”, transferal tehnologic, inovarea, sprijinirea IMM și digitalizare. Programul Operațional Creștere Inteligentă și Digitalizare va pune la dispoziție instrumente financiare. Prin Programul Operațional Dezvoltare Teritorială Integrată se vor finanța intervenții în domeniul turismului, culturii și patrimoniului cultural.</w:t>
      </w:r>
    </w:p>
    <w:p w14:paraId="68A04956">
      <w:pPr>
        <w:pStyle w:val="2"/>
        <w:rPr>
          <w:rFonts w:ascii="Arial" w:hAnsi="Arial" w:cs="Arial"/>
          <w:sz w:val="22"/>
          <w:szCs w:val="22"/>
        </w:rPr>
      </w:pPr>
      <w:bookmarkStart w:id="8" w:name="_Toc201926294"/>
      <w:r>
        <w:rPr>
          <w:rFonts w:ascii="Arial" w:hAnsi="Arial" w:cs="Arial"/>
          <w:sz w:val="22"/>
          <w:szCs w:val="22"/>
          <w:lang w:val="ro-RO"/>
        </w:rPr>
        <w:t>CAPITOLUL 2</w:t>
      </w:r>
      <w:bookmarkEnd w:id="8"/>
    </w:p>
    <w:p w14:paraId="1B82EE74">
      <w:pPr>
        <w:pStyle w:val="2"/>
        <w:rPr>
          <w:rFonts w:ascii="Arial" w:hAnsi="Arial" w:cs="Arial"/>
          <w:sz w:val="22"/>
          <w:szCs w:val="22"/>
          <w:lang w:val="ro-RO"/>
        </w:rPr>
      </w:pPr>
      <w:bookmarkStart w:id="9" w:name="_Toc201926295"/>
      <w:r>
        <w:rPr>
          <w:rFonts w:ascii="Arial" w:hAnsi="Arial" w:cs="Arial"/>
          <w:sz w:val="22"/>
          <w:szCs w:val="22"/>
          <w:lang w:val="ro-RO"/>
        </w:rPr>
        <w:t>PREZENTARE GENERALĂ</w:t>
      </w:r>
      <w:bookmarkEnd w:id="9"/>
    </w:p>
    <w:p w14:paraId="553724C6">
      <w:pPr>
        <w:pStyle w:val="3"/>
        <w:numPr>
          <w:ilvl w:val="1"/>
          <w:numId w:val="3"/>
        </w:numPr>
        <w:rPr>
          <w:rFonts w:cs="Arial"/>
          <w:color w:val="auto"/>
          <w:sz w:val="22"/>
          <w:szCs w:val="22"/>
          <w:lang w:val="ro-RO"/>
        </w:rPr>
      </w:pPr>
      <w:bookmarkStart w:id="10" w:name="_Toc201926296"/>
      <w:r>
        <w:rPr>
          <w:rFonts w:cs="Arial"/>
          <w:color w:val="auto"/>
          <w:sz w:val="22"/>
          <w:szCs w:val="22"/>
          <w:lang w:val="ro-RO"/>
        </w:rPr>
        <w:t>Poziționare geografică</w:t>
      </w:r>
      <w:bookmarkEnd w:id="10"/>
    </w:p>
    <w:p w14:paraId="629315DF">
      <w:pPr>
        <w:rPr>
          <w:rFonts w:cs="Arial"/>
          <w:sz w:val="22"/>
          <w:lang w:val="ro-RO"/>
        </w:rPr>
      </w:pPr>
      <w:r>
        <w:rPr>
          <w:rFonts w:cs="Arial"/>
          <w:sz w:val="22"/>
          <w:lang w:val="ro-RO"/>
        </w:rPr>
        <w:t>Comuna ȘIMIAN este una dintre cele mai importante unități administrativ-teritoriale din Județul Mehedinți, situată strategic în Sud-Vestul României. Prin poziționarea sa favorabilă, pe malul Fluviului Dunărea și în apropierea Municipiului Drobeta-Turnu Severin, Comuna ȘIMIAN beneficiază de condiții prielnice pentru dezvoltare socio-economică și turistică.</w:t>
      </w:r>
    </w:p>
    <w:p w14:paraId="3FBAFFDA">
      <w:pPr>
        <w:rPr>
          <w:rFonts w:cs="Arial"/>
          <w:sz w:val="22"/>
          <w:lang w:val="ro-RO"/>
        </w:rPr>
      </w:pPr>
      <w:r>
        <w:rPr>
          <w:rFonts w:cs="Arial"/>
          <w:sz w:val="22"/>
          <w:lang w:val="ro-RO"/>
        </w:rPr>
        <w:t xml:space="preserve">Comuna ȘIMIAN are următoarele vecinătăți: la Nord Comuna Hinova, la Est Comuna Gura Văii, la Vest Municipiul Drobeta-Turnu Severin și la Sud Fluviul Dunărea, care formează granița naturală cu Bulgaria. </w:t>
      </w:r>
    </w:p>
    <w:p w14:paraId="03F620FF">
      <w:pPr>
        <w:rPr>
          <w:rFonts w:cs="Arial"/>
          <w:sz w:val="22"/>
          <w:lang w:val="ro-RO"/>
        </w:rPr>
      </w:pPr>
      <w:r>
        <w:rPr>
          <w:rFonts w:cs="Arial"/>
          <w:sz w:val="22"/>
          <w:lang w:val="ro-RO"/>
        </w:rPr>
        <w:t>Comuna ȘIMIAN are în administrație următoarele sate: ȘIMIAN (reședința), Cerneți, Dedovița Nouă, Dedovița Veche, Dudașu, Erghevița, Poroina și Valea Copcii.</w:t>
      </w:r>
    </w:p>
    <w:p w14:paraId="3621CB8C">
      <w:pPr>
        <w:rPr>
          <w:rFonts w:cs="Arial"/>
          <w:sz w:val="22"/>
          <w:lang w:val="ro-RO"/>
        </w:rPr>
      </w:pPr>
      <w:r>
        <w:rPr>
          <w:rFonts w:cs="Arial"/>
          <w:sz w:val="22"/>
          <w:lang w:val="ro-RO"/>
        </w:rPr>
        <w:t xml:space="preserve"> Comuna ȘIMIAN beneficiază de o infrastructură rutieră și feroviară bine dezvoltată, Drumul Național DN6 (E70) traversează comuna, conectând-o cu Municipiul București și cu Europa de Vest, iar calea ferată și proximitatea față de portul fluvial facilitează transportul de persoane și mărfuri.</w:t>
      </w:r>
    </w:p>
    <w:p w14:paraId="3EABF1CB">
      <w:pPr>
        <w:ind w:right="360"/>
        <w:rPr>
          <w:rFonts w:eastAsia="Times New Roman" w:cs="Arial"/>
          <w:bCs/>
          <w:iCs/>
          <w:sz w:val="22"/>
          <w:lang w:val="ro-RO" w:eastAsia="ro-RO"/>
        </w:rPr>
      </w:pPr>
      <w:r>
        <w:rPr>
          <w:rFonts w:eastAsia="Times New Roman" w:cs="Arial"/>
          <w:bCs/>
          <w:iCs/>
          <w:sz w:val="22"/>
          <w:lang w:val="ro-RO" w:eastAsia="ro-RO"/>
        </w:rPr>
        <w:t>Distanța mică dintre comuna ȘIMIAN și municipiul Drobeta Turnu Severin (cca 5 km), a făcut posibilă statornicirea unor relații speciale între aceste două teritorii administrative: relații economico-sociale de aprovizionare cu produse agroalimentare, de folosire a dotărilor social-culturale, comerciale și prestări servicii, a echipărilor majore a teritoriului și a amenajărilor pentru odihnă, recreere și agrement.</w:t>
      </w:r>
    </w:p>
    <w:p w14:paraId="7EC7FDF2">
      <w:pPr>
        <w:rPr>
          <w:rFonts w:eastAsia="Times New Roman" w:cs="Arial"/>
          <w:bCs/>
          <w:i/>
          <w:sz w:val="22"/>
          <w:lang w:val="ro-RO" w:eastAsia="ro-RO"/>
        </w:rPr>
      </w:pPr>
      <w:r>
        <w:rPr>
          <w:rFonts w:eastAsia="Times New Roman" w:cs="Arial"/>
          <w:bCs/>
          <w:iCs/>
          <w:sz w:val="22"/>
          <w:lang w:val="ro-RO" w:eastAsia="ro-RO"/>
        </w:rPr>
        <w:t>Pe teritoriul comunei sunt amplasate obiective de interes județean și chiar național: gara de mărfuri Șimian, exploatarea minieră-incinta centrală și cele două guri de mină care funcționează sub autoritatea conducerilor din municipiu.   Zăcămintele de agregate ce se găsesc în albia râului Topolnița și pe malul fluviului, amplasate pe teritoriul comunei, zonele cu valoare naturală și construită, insuficient introduse în circuitul turistic (insula Șimian, culele și bisericile din Cerneți) sunt exploatate în special în activitățile economice din municipiu și de către populația acestuia</w:t>
      </w:r>
      <w:r>
        <w:rPr>
          <w:rFonts w:eastAsia="Times New Roman" w:cs="Arial"/>
          <w:bCs/>
          <w:i/>
          <w:sz w:val="22"/>
          <w:lang w:val="ro-RO" w:eastAsia="ro-RO"/>
        </w:rPr>
        <w:t xml:space="preserve">.  </w:t>
      </w:r>
    </w:p>
    <w:p w14:paraId="7F8AC311">
      <w:pPr>
        <w:rPr>
          <w:rFonts w:eastAsia="Times New Roman" w:cs="Arial"/>
          <w:bCs/>
          <w:i/>
          <w:sz w:val="22"/>
          <w:lang w:val="ro-RO" w:eastAsia="ro-RO"/>
        </w:rPr>
      </w:pPr>
    </w:p>
    <w:p w14:paraId="6E18058B">
      <w:pPr>
        <w:rPr>
          <w:rFonts w:eastAsia="Times New Roman" w:cs="Arial"/>
          <w:b/>
          <w:bCs/>
          <w:iCs/>
          <w:sz w:val="22"/>
          <w:lang w:val="ro-RO" w:eastAsia="ro-RO"/>
        </w:rPr>
      </w:pPr>
      <w:r>
        <w:rPr>
          <w:rFonts w:eastAsia="Times New Roman" w:cs="Arial"/>
          <w:b/>
          <w:bCs/>
          <w:iCs/>
          <w:sz w:val="22"/>
          <w:lang w:val="ro-RO" w:eastAsia="ro-RO"/>
        </w:rPr>
        <w:t>Descrierea intravilanelor existente:</w:t>
      </w:r>
    </w:p>
    <w:p w14:paraId="2A998EFF">
      <w:pPr>
        <w:rPr>
          <w:rFonts w:eastAsia="Times New Roman" w:cs="Arial"/>
          <w:bCs/>
          <w:iCs/>
          <w:sz w:val="22"/>
          <w:lang w:val="ro-RO" w:eastAsia="ro-RO"/>
        </w:rPr>
      </w:pPr>
      <w:r>
        <w:rPr>
          <w:rFonts w:eastAsia="Times New Roman" w:cs="Arial"/>
          <w:bCs/>
          <w:iCs/>
          <w:sz w:val="22"/>
          <w:lang w:val="ro-RO" w:eastAsia="ro-RO"/>
        </w:rPr>
        <w:t xml:space="preserve">Cele 8 localități ce alcătuiesc Comuna Șimian s-au dezvoltat într-o zonă de deal-podiș, tipologia lor fiind strâns legată de zona geografică în care se înscriu. Dezvoltate în general de-a lungul văilor ce străbat podișul, localitățile sunt de tip înșirat, iar legătura dintre ele se realizează prin căi de comunicație realizate în general pe lungimea văilor, cu excepția localităților Șimian, Cerneți și Dudașu, a căror dezvoltare este puternic influențată de municipiul Drobeta Turnu Severin, celelalte 5 localități fiind de mărime mică, sub 500 locuitori și lipsite de orice activitate economică. </w:t>
      </w:r>
    </w:p>
    <w:p w14:paraId="6FEBC156">
      <w:pPr>
        <w:pStyle w:val="14"/>
        <w:rPr>
          <w:sz w:val="22"/>
          <w:szCs w:val="22"/>
        </w:rPr>
      </w:pPr>
      <w:r>
        <w:rPr>
          <w:sz w:val="22"/>
          <w:szCs w:val="22"/>
        </w:rPr>
        <w:t xml:space="preserve">Figura </w:t>
      </w:r>
      <w:r>
        <w:rPr>
          <w:sz w:val="22"/>
          <w:szCs w:val="22"/>
        </w:rPr>
        <w:fldChar w:fldCharType="begin"/>
      </w:r>
      <w:r>
        <w:rPr>
          <w:sz w:val="22"/>
          <w:szCs w:val="22"/>
        </w:rPr>
        <w:instrText xml:space="preserve"> SEQ Figura \* ARABIC </w:instrText>
      </w:r>
      <w:r>
        <w:rPr>
          <w:sz w:val="22"/>
          <w:szCs w:val="22"/>
        </w:rPr>
        <w:fldChar w:fldCharType="separate"/>
      </w:r>
      <w:r>
        <w:rPr>
          <w:sz w:val="22"/>
          <w:szCs w:val="22"/>
        </w:rPr>
        <w:t>1</w:t>
      </w:r>
      <w:r>
        <w:rPr>
          <w:sz w:val="22"/>
          <w:szCs w:val="22"/>
        </w:rPr>
        <w:fldChar w:fldCharType="end"/>
      </w:r>
      <w:r>
        <w:rPr>
          <w:sz w:val="22"/>
          <w:szCs w:val="22"/>
        </w:rPr>
        <w:t>. Localizarea Comunei Șimian în cadrul Județului Mehedinți</w:t>
      </w:r>
    </w:p>
    <w:p w14:paraId="600F9CE2">
      <w:pPr>
        <w:jc w:val="center"/>
        <w:rPr>
          <w:rFonts w:eastAsia="Times New Roman" w:cs="Arial"/>
          <w:bCs/>
          <w:iCs/>
          <w:sz w:val="22"/>
          <w:lang w:val="ro-RO" w:eastAsia="ro-RO"/>
        </w:rPr>
      </w:pPr>
      <w:r>
        <w:rPr>
          <w:rFonts w:eastAsia="Times New Roman" w:cs="Arial"/>
          <w:bCs/>
          <w:iCs/>
          <w:sz w:val="22"/>
          <w:lang w:val="ro-RO" w:eastAsia="ro-RO"/>
        </w:rPr>
        <w:drawing>
          <wp:inline distT="0" distB="0" distL="0" distR="0">
            <wp:extent cx="4023360" cy="3840480"/>
            <wp:effectExtent l="0" t="0" r="0" b="7620"/>
            <wp:docPr id="1062598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823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023360" cy="3840480"/>
                    </a:xfrm>
                    <a:prstGeom prst="rect">
                      <a:avLst/>
                    </a:prstGeom>
                    <a:noFill/>
                    <a:ln>
                      <a:noFill/>
                    </a:ln>
                  </pic:spPr>
                </pic:pic>
              </a:graphicData>
            </a:graphic>
          </wp:inline>
        </w:drawing>
      </w:r>
    </w:p>
    <w:p w14:paraId="5202788C">
      <w:pPr>
        <w:jc w:val="center"/>
        <w:rPr>
          <w:rFonts w:eastAsia="Times New Roman" w:cs="Arial"/>
          <w:bCs/>
          <w:iCs/>
          <w:sz w:val="22"/>
          <w:lang w:val="ro-RO" w:eastAsia="ro-RO"/>
        </w:rPr>
      </w:pPr>
    </w:p>
    <w:p w14:paraId="43D762A8">
      <w:pPr>
        <w:ind w:firstLine="0"/>
        <w:rPr>
          <w:rFonts w:eastAsia="Times New Roman" w:cs="Arial"/>
          <w:bCs/>
          <w:iCs/>
          <w:sz w:val="22"/>
          <w:lang w:val="ro-RO" w:eastAsia="ro-RO"/>
        </w:rPr>
      </w:pPr>
      <w:r>
        <w:rPr>
          <w:rFonts w:eastAsia="Times New Roman" w:cs="Arial"/>
          <w:bCs/>
          <w:iCs/>
          <w:sz w:val="22"/>
          <w:lang w:val="ro-RO" w:eastAsia="ro-RO"/>
        </w:rPr>
        <w:t>Teritoriul administrativ al Comunei Șimian are o suprafață totală de 6.031,61 ha, suprafață dispusă în felul următor:</w:t>
      </w:r>
    </w:p>
    <w:p w14:paraId="38F0B208">
      <w:pPr>
        <w:ind w:firstLine="0"/>
        <w:rPr>
          <w:rFonts w:eastAsia="Times New Roman" w:cs="Arial"/>
          <w:bCs/>
          <w:iCs/>
          <w:sz w:val="22"/>
          <w:lang w:val="ro-RO" w:eastAsia="ro-RO"/>
        </w:rPr>
      </w:pPr>
      <w:r>
        <w:rPr>
          <w:rFonts w:eastAsia="Times New Roman" w:cs="Arial"/>
          <w:bCs/>
          <w:iCs/>
          <w:sz w:val="22"/>
          <w:lang w:val="ro-RO" w:eastAsia="ro-RO"/>
        </w:rPr>
        <w:t>Suprafața agricolă</w:t>
      </w:r>
    </w:p>
    <w:p w14:paraId="04EA9F12">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teren arabil            2.125,15 ha</w:t>
      </w:r>
    </w:p>
    <w:p w14:paraId="37E537ED">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pășuni                    1.082,60 ha</w:t>
      </w:r>
    </w:p>
    <w:p w14:paraId="6F9F5663">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fânețe                          14,0   ha</w:t>
      </w:r>
    </w:p>
    <w:p w14:paraId="4EC20541">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vii                               495,0 ha</w:t>
      </w:r>
    </w:p>
    <w:p w14:paraId="04508108">
      <w:pPr>
        <w:tabs>
          <w:tab w:val="center" w:pos="4807"/>
        </w:tabs>
        <w:ind w:firstLine="0"/>
        <w:rPr>
          <w:rFonts w:eastAsia="Times New Roman" w:cs="Arial"/>
          <w:bCs/>
          <w:iCs/>
          <w:sz w:val="22"/>
          <w:lang w:val="ro-RO" w:eastAsia="ro-RO"/>
        </w:rPr>
      </w:pPr>
      <w:r>
        <w:rPr>
          <w:rFonts w:eastAsia="Times New Roman" w:cs="Arial"/>
          <w:bCs/>
          <w:iCs/>
          <w:sz w:val="22"/>
          <w:lang w:val="ro-RO" w:eastAsia="ro-RO"/>
        </w:rPr>
        <w:t>Suprafața neagricolă</w:t>
      </w:r>
      <w:r>
        <w:rPr>
          <w:rFonts w:eastAsia="Times New Roman" w:cs="Arial"/>
          <w:bCs/>
          <w:iCs/>
          <w:sz w:val="22"/>
          <w:lang w:val="ro-RO" w:eastAsia="ro-RO"/>
        </w:rPr>
        <w:tab/>
      </w:r>
    </w:p>
    <w:p w14:paraId="1F72D16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păduri                      1.062,36 ha</w:t>
      </w:r>
    </w:p>
    <w:p w14:paraId="12D7E018">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ape                             275,0   ha</w:t>
      </w:r>
    </w:p>
    <w:p w14:paraId="7EBCA85F">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curți-construcții          282,4   ha</w:t>
      </w:r>
    </w:p>
    <w:p w14:paraId="2694326F">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neproductiv                505,0   ha</w:t>
      </w:r>
    </w:p>
    <w:p w14:paraId="1E5F91C9">
      <w:pPr>
        <w:ind w:firstLine="0"/>
        <w:rPr>
          <w:rFonts w:eastAsia="Times New Roman" w:cs="Arial"/>
          <w:bCs/>
          <w:iCs/>
          <w:sz w:val="22"/>
          <w:lang w:val="ro-RO" w:eastAsia="ro-RO"/>
        </w:rPr>
      </w:pPr>
    </w:p>
    <w:p w14:paraId="53688E1B">
      <w:pPr>
        <w:ind w:firstLine="0"/>
        <w:rPr>
          <w:rFonts w:eastAsia="Times New Roman" w:cs="Arial"/>
          <w:bCs/>
          <w:iCs/>
          <w:sz w:val="22"/>
          <w:lang w:val="ro-RO" w:eastAsia="ro-RO"/>
        </w:rPr>
      </w:pPr>
      <w:r>
        <w:rPr>
          <w:rFonts w:eastAsia="Times New Roman" w:cs="Arial"/>
          <w:bCs/>
          <w:iCs/>
          <w:sz w:val="22"/>
          <w:lang w:val="ro-RO" w:eastAsia="ro-RO"/>
        </w:rPr>
        <w:t>Intravilanul existent cuprinde cele 8 localități componente constituite din unul sau mai multe trupuri, cât și suprafețele ocupate de construcții, depozite, incinte care aparțin Întreprinderii Miniere.</w:t>
      </w:r>
    </w:p>
    <w:p w14:paraId="6D208396">
      <w:pPr>
        <w:ind w:firstLine="0"/>
        <w:rPr>
          <w:rFonts w:eastAsia="Times New Roman" w:cs="Arial"/>
          <w:bCs/>
          <w:iCs/>
          <w:sz w:val="22"/>
          <w:lang w:val="ro-RO" w:eastAsia="ro-RO"/>
        </w:rPr>
      </w:pPr>
    </w:p>
    <w:p w14:paraId="1365134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Șimian             199,32 ha și 21 trupuri</w:t>
      </w:r>
    </w:p>
    <w:p w14:paraId="27A1089F">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Cerneți             109,79 ha și 32 trupuri</w:t>
      </w:r>
    </w:p>
    <w:p w14:paraId="67D48B5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Dudașu              43,17 ha și   4 trupuri</w:t>
      </w:r>
    </w:p>
    <w:p w14:paraId="5FF2385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Dedovița Nouă  29,2   ha și   1 trup</w:t>
      </w:r>
    </w:p>
    <w:p w14:paraId="6A6809C4">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Dedovița Veche 10,77 ha și  2 trupuri</w:t>
      </w:r>
    </w:p>
    <w:p w14:paraId="344B8BD4">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Erghevița            29,51 ha și 11 trupuri</w:t>
      </w:r>
    </w:p>
    <w:p w14:paraId="514025DF">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Poroina               20,81 ha și   8 trupuri</w:t>
      </w:r>
    </w:p>
    <w:p w14:paraId="24F9BE6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Valea Copcii      15, 33 ha și 9 trupuri</w:t>
      </w:r>
    </w:p>
    <w:p w14:paraId="1C09EF20">
      <w:pPr>
        <w:ind w:firstLine="0"/>
        <w:rPr>
          <w:rFonts w:eastAsia="Times New Roman" w:cs="Arial"/>
          <w:bCs/>
          <w:iCs/>
          <w:sz w:val="22"/>
          <w:lang w:val="ro-RO" w:eastAsia="ro-RO"/>
        </w:rPr>
      </w:pPr>
    </w:p>
    <w:p w14:paraId="44276E93">
      <w:pPr>
        <w:ind w:firstLine="0"/>
        <w:rPr>
          <w:rFonts w:eastAsia="Times New Roman" w:cs="Arial"/>
          <w:bCs/>
          <w:iCs/>
          <w:sz w:val="22"/>
          <w:lang w:val="ro-RO" w:eastAsia="ro-RO"/>
        </w:rPr>
      </w:pPr>
      <w:r>
        <w:rPr>
          <w:rFonts w:eastAsia="Times New Roman" w:cs="Arial"/>
          <w:bCs/>
          <w:iCs/>
          <w:sz w:val="22"/>
          <w:lang w:val="ro-RO" w:eastAsia="ro-RO"/>
        </w:rPr>
        <w:t>Intravilanele propuse pe fiecare localitate, precum și numărul de trupuri alocate:</w:t>
      </w:r>
    </w:p>
    <w:p w14:paraId="37C9CFF9">
      <w:pPr>
        <w:ind w:firstLine="0"/>
        <w:rPr>
          <w:rFonts w:eastAsia="Times New Roman" w:cs="Arial"/>
          <w:bCs/>
          <w:iCs/>
          <w:sz w:val="22"/>
          <w:lang w:val="ro-RO" w:eastAsia="ro-RO"/>
        </w:rPr>
      </w:pPr>
    </w:p>
    <w:p w14:paraId="543C63BD">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Șimian                    336,78 ha și 15 trupuri</w:t>
      </w:r>
    </w:p>
    <w:p w14:paraId="2BCB3329">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Cerneți                   122,20 ha și 16 trupuri</w:t>
      </w:r>
    </w:p>
    <w:p w14:paraId="2D767C25">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Dudașu                     60,44 ha și   2 trupuri</w:t>
      </w:r>
    </w:p>
    <w:p w14:paraId="35855F86">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Dedovița Nouă         41,55 ha și   1 trup</w:t>
      </w:r>
    </w:p>
    <w:p w14:paraId="58AE677A">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Dedovița Veche       13,50 ha și   2 trupuri</w:t>
      </w:r>
    </w:p>
    <w:p w14:paraId="35C49E52">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Erghevița                 30, 39 ha și 6 trupuri</w:t>
      </w:r>
    </w:p>
    <w:p w14:paraId="52FA71F3">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Poroina                    21,87 ha și 3 trupuri</w:t>
      </w:r>
    </w:p>
    <w:p w14:paraId="6CF26006">
      <w:pPr>
        <w:numPr>
          <w:ilvl w:val="0"/>
          <w:numId w:val="4"/>
        </w:numPr>
        <w:ind w:left="0" w:firstLine="0"/>
        <w:jc w:val="left"/>
        <w:rPr>
          <w:rFonts w:eastAsia="Times New Roman" w:cs="Arial"/>
          <w:bCs/>
          <w:iCs/>
          <w:sz w:val="22"/>
          <w:lang w:val="ro-RO" w:eastAsia="ro-RO"/>
        </w:rPr>
      </w:pPr>
      <w:r>
        <w:rPr>
          <w:rFonts w:eastAsia="Times New Roman" w:cs="Arial"/>
          <w:bCs/>
          <w:iCs/>
          <w:sz w:val="22"/>
          <w:lang w:val="ro-RO" w:eastAsia="ro-RO"/>
        </w:rPr>
        <w:t>Valea Copcii            17,65 ha și 5 trupuri</w:t>
      </w:r>
    </w:p>
    <w:p w14:paraId="7178CA51">
      <w:pPr>
        <w:rPr>
          <w:rFonts w:cs="Arial"/>
          <w:color w:val="808080" w:themeColor="background1" w:themeShade="80"/>
          <w:sz w:val="22"/>
          <w:lang w:val="ro-RO"/>
        </w:rPr>
      </w:pPr>
    </w:p>
    <w:p w14:paraId="0A63211A">
      <w:pPr>
        <w:pStyle w:val="3"/>
        <w:numPr>
          <w:ilvl w:val="1"/>
          <w:numId w:val="3"/>
        </w:numPr>
        <w:rPr>
          <w:rFonts w:cs="Arial"/>
          <w:sz w:val="22"/>
          <w:szCs w:val="22"/>
          <w:lang w:val="ro-RO"/>
        </w:rPr>
      </w:pPr>
      <w:bookmarkStart w:id="11" w:name="_Toc201926297"/>
      <w:r>
        <w:rPr>
          <w:rFonts w:cs="Arial"/>
          <w:sz w:val="22"/>
          <w:szCs w:val="22"/>
          <w:lang w:val="ro-RO"/>
        </w:rPr>
        <w:t>Cadrul natural</w:t>
      </w:r>
      <w:bookmarkEnd w:id="11"/>
    </w:p>
    <w:p w14:paraId="67D201AA">
      <w:pPr>
        <w:rPr>
          <w:rFonts w:cs="Arial"/>
          <w:sz w:val="22"/>
          <w:lang w:val="ro-RO"/>
        </w:rPr>
      </w:pPr>
      <w:r>
        <w:rPr>
          <w:rFonts w:cs="Arial"/>
          <w:sz w:val="22"/>
          <w:lang w:val="ro-RO"/>
        </w:rPr>
        <w:t>Relieful comunei este predominant de câmpie joasă, specific luncii Dunării, ceea ce favorizează activități agricole și dezvoltarea așezărilor. Fluviul Dunărea constituie principalul curs de apă al zonei, având o importanță deosebită în hidrografie, transport și resurse naturale.</w:t>
      </w:r>
    </w:p>
    <w:p w14:paraId="5967F110">
      <w:pPr>
        <w:rPr>
          <w:rFonts w:cs="Arial"/>
          <w:sz w:val="22"/>
          <w:lang w:val="ro-RO"/>
        </w:rPr>
      </w:pPr>
      <w:r>
        <w:rPr>
          <w:rFonts w:cs="Arial"/>
          <w:sz w:val="22"/>
          <w:lang w:val="ro-RO"/>
        </w:rPr>
        <w:t>Un punct special este Insula Șimian, situată în apropierea comunei. Aceasta găzduiește structuri istorice mutate de pe fosta insulă Ada Kaleh, oferind un potențial turistic și cultural deosebit.</w:t>
      </w:r>
    </w:p>
    <w:p w14:paraId="6C332EFF">
      <w:pPr>
        <w:ind w:right="357" w:firstLine="629"/>
        <w:rPr>
          <w:rFonts w:eastAsia="Times New Roman" w:cs="Arial"/>
          <w:bCs/>
          <w:iCs/>
          <w:sz w:val="22"/>
          <w:lang w:val="ro-RO" w:eastAsia="ro-RO"/>
        </w:rPr>
      </w:pPr>
      <w:r>
        <w:rPr>
          <w:rFonts w:eastAsia="Times New Roman" w:cs="Arial"/>
          <w:bCs/>
          <w:iCs/>
          <w:sz w:val="22"/>
          <w:lang w:val="ro-RO" w:eastAsia="ro-RO"/>
        </w:rPr>
        <w:t>Comuna Șimian este amplasată pe un teritoriu preponderent cu câmpie și deal.</w:t>
      </w:r>
    </w:p>
    <w:p w14:paraId="029EE101">
      <w:pPr>
        <w:ind w:right="357" w:firstLine="629"/>
        <w:rPr>
          <w:rFonts w:eastAsia="Times New Roman" w:cs="Arial"/>
          <w:bCs/>
          <w:iCs/>
          <w:sz w:val="22"/>
          <w:lang w:val="ro-RO" w:eastAsia="ro-RO"/>
        </w:rPr>
      </w:pPr>
      <w:r>
        <w:rPr>
          <w:rFonts w:eastAsia="Times New Roman" w:cs="Arial"/>
          <w:bCs/>
          <w:iCs/>
          <w:sz w:val="22"/>
          <w:lang w:val="ro-RO" w:eastAsia="ro-RO"/>
        </w:rPr>
        <w:t>Câmpia este reprezentată de terasa Dunării și a Topolniței cu altitudini cuprinse între 60 și 120 m și respectiv între 50 și 60 m.</w:t>
      </w:r>
    </w:p>
    <w:p w14:paraId="242A9A4A">
      <w:pPr>
        <w:ind w:right="357" w:firstLine="629"/>
        <w:rPr>
          <w:rFonts w:eastAsia="Times New Roman" w:cs="Arial"/>
          <w:bCs/>
          <w:iCs/>
          <w:sz w:val="22"/>
          <w:lang w:val="ro-RO" w:eastAsia="ro-RO"/>
        </w:rPr>
      </w:pPr>
      <w:r>
        <w:rPr>
          <w:rFonts w:eastAsia="Times New Roman" w:cs="Arial"/>
          <w:bCs/>
          <w:iCs/>
          <w:sz w:val="22"/>
          <w:lang w:val="ro-RO" w:eastAsia="ro-RO"/>
        </w:rPr>
        <w:t>Relieful de câmpie este străbătut de ogașe și văi seci  cu profile în formă de u cu direcția de dezvoltare E-V și N-S.</w:t>
      </w:r>
    </w:p>
    <w:p w14:paraId="116DC1D5">
      <w:pPr>
        <w:ind w:right="357" w:firstLine="629"/>
        <w:rPr>
          <w:rFonts w:eastAsia="Times New Roman" w:cs="Arial"/>
          <w:bCs/>
          <w:iCs/>
          <w:sz w:val="22"/>
          <w:lang w:val="ro-RO" w:eastAsia="ro-RO"/>
        </w:rPr>
      </w:pPr>
      <w:r>
        <w:rPr>
          <w:rFonts w:eastAsia="Times New Roman" w:cs="Arial"/>
          <w:bCs/>
          <w:iCs/>
          <w:sz w:val="22"/>
          <w:lang w:val="ro-RO" w:eastAsia="ro-RO"/>
        </w:rPr>
        <w:t>Relieful de deal ocupă partea estică a teritoriului administrativ cu altitudini de 350-400 m la limita teritoriului și cade treptat de la est spre vest până la contactul cu câmpia.</w:t>
      </w:r>
    </w:p>
    <w:p w14:paraId="3AB1D4A8">
      <w:pPr>
        <w:ind w:right="357" w:firstLine="629"/>
        <w:rPr>
          <w:rFonts w:eastAsia="Times New Roman" w:cs="Arial"/>
          <w:bCs/>
          <w:iCs/>
          <w:sz w:val="22"/>
          <w:lang w:val="ro-RO" w:eastAsia="ro-RO"/>
        </w:rPr>
      </w:pPr>
      <w:r>
        <w:rPr>
          <w:rFonts w:eastAsia="Times New Roman" w:cs="Arial"/>
          <w:bCs/>
          <w:iCs/>
          <w:sz w:val="22"/>
          <w:lang w:val="ro-RO" w:eastAsia="ro-RO"/>
        </w:rPr>
        <w:t>Dealurile au un grad ridicat de fragmentare, văile sunt adânci cu versanți abrupți, cu orientare generală spre est și sud.</w:t>
      </w:r>
    </w:p>
    <w:p w14:paraId="5338076C">
      <w:pPr>
        <w:ind w:right="357" w:firstLine="629"/>
        <w:rPr>
          <w:rFonts w:eastAsia="Times New Roman" w:cs="Arial"/>
          <w:bCs/>
          <w:iCs/>
          <w:sz w:val="22"/>
          <w:lang w:val="ro-RO" w:eastAsia="ro-RO"/>
        </w:rPr>
      </w:pPr>
      <w:r>
        <w:rPr>
          <w:rFonts w:eastAsia="Times New Roman" w:cs="Arial"/>
          <w:bCs/>
          <w:iCs/>
          <w:sz w:val="22"/>
          <w:lang w:val="ro-RO" w:eastAsia="ro-RO"/>
        </w:rPr>
        <w:t>În zona de câmpie sunt așezate localitățile Șimian, Cerneți și Dedovița Nouă, iar în zona de deal localitățile Dedovița Veche, Erghevița, Poroina și Valea Copcii.</w:t>
      </w:r>
    </w:p>
    <w:p w14:paraId="2781A4A2">
      <w:pPr>
        <w:ind w:right="357" w:firstLine="629"/>
        <w:rPr>
          <w:rFonts w:eastAsia="Times New Roman" w:cs="Arial"/>
          <w:bCs/>
          <w:iCs/>
          <w:sz w:val="22"/>
          <w:lang w:val="ro-RO" w:eastAsia="ro-RO"/>
        </w:rPr>
      </w:pPr>
      <w:r>
        <w:rPr>
          <w:rFonts w:eastAsia="Times New Roman" w:cs="Arial"/>
          <w:bCs/>
          <w:iCs/>
          <w:sz w:val="22"/>
          <w:lang w:val="ro-RO" w:eastAsia="ro-RO"/>
        </w:rPr>
        <w:t>Teritoriul comunei fiind o zona de trecere de la deal la câmpie, predomina pământurile nisipoase și argiloase.</w:t>
      </w:r>
    </w:p>
    <w:p w14:paraId="5AC94C81">
      <w:pPr>
        <w:ind w:right="357" w:firstLine="629"/>
        <w:rPr>
          <w:rFonts w:eastAsia="Times New Roman" w:cs="Arial"/>
          <w:bCs/>
          <w:iCs/>
          <w:sz w:val="22"/>
          <w:lang w:val="ro-RO" w:eastAsia="ro-RO"/>
        </w:rPr>
      </w:pPr>
    </w:p>
    <w:p w14:paraId="398510AC">
      <w:pPr>
        <w:rPr>
          <w:rFonts w:cs="Arial"/>
          <w:b/>
          <w:bCs/>
          <w:sz w:val="22"/>
          <w:lang w:val="ro-RO"/>
        </w:rPr>
      </w:pPr>
      <w:r>
        <w:rPr>
          <w:rFonts w:cs="Arial"/>
          <w:b/>
          <w:bCs/>
          <w:sz w:val="22"/>
          <w:lang w:val="ro-RO"/>
        </w:rPr>
        <w:t>Condiții geotehnice</w:t>
      </w:r>
    </w:p>
    <w:p w14:paraId="0B9BAB1B">
      <w:pPr>
        <w:rPr>
          <w:rFonts w:cs="Arial"/>
          <w:sz w:val="22"/>
          <w:lang w:val="ro-RO"/>
        </w:rPr>
      </w:pPr>
      <w:r>
        <w:rPr>
          <w:rFonts w:cs="Arial"/>
          <w:sz w:val="22"/>
          <w:lang w:val="ro-RO"/>
        </w:rPr>
        <w:t>Structura geologică și natura litologică din zona de câmpie, încadrează terenurile în categoria bune de fundare. Dezvoltarea construcțiilor și extinderea vetrei satelor se poate realiza fără restricții.</w:t>
      </w:r>
    </w:p>
    <w:p w14:paraId="34616F69">
      <w:pPr>
        <w:rPr>
          <w:rFonts w:cs="Arial"/>
          <w:sz w:val="22"/>
          <w:lang w:val="ro-RO"/>
        </w:rPr>
      </w:pPr>
    </w:p>
    <w:p w14:paraId="227C62E0">
      <w:pPr>
        <w:pStyle w:val="3"/>
        <w:numPr>
          <w:ilvl w:val="1"/>
          <w:numId w:val="3"/>
        </w:numPr>
        <w:rPr>
          <w:rFonts w:cs="Arial"/>
          <w:sz w:val="22"/>
          <w:szCs w:val="22"/>
          <w:lang w:val="ro-RO"/>
        </w:rPr>
      </w:pPr>
      <w:bookmarkStart w:id="12" w:name="_Toc201926298"/>
      <w:r>
        <w:rPr>
          <w:rFonts w:cs="Arial"/>
          <w:sz w:val="22"/>
          <w:szCs w:val="22"/>
          <w:lang w:val="ro-RO"/>
        </w:rPr>
        <w:t>Clima</w:t>
      </w:r>
      <w:bookmarkEnd w:id="12"/>
    </w:p>
    <w:p w14:paraId="5E5DB779">
      <w:pPr>
        <w:rPr>
          <w:rFonts w:cs="Arial"/>
          <w:sz w:val="22"/>
          <w:lang w:val="ro-RO"/>
        </w:rPr>
      </w:pPr>
      <w:r>
        <w:rPr>
          <w:rFonts w:cs="Arial"/>
          <w:sz w:val="22"/>
          <w:lang w:val="ro-RO"/>
        </w:rPr>
        <w:t>Comuna Șimian se situează într-o zonă caracterizată de climă temperat-continentală cu influențe submediteraneene, specifice sudului Olteniei. Acest climat se remarcă prin veri calde și secetoase, ierni blânde și o toamnă prelungită, predominant uscată. Proximitatea față de fluviul Dunărea determină, în sezonul rece, apariția frecventă a ceții dense și a inversiunilor termice în zonele joase și în luncă, ceea ce influențează microclimatul local.</w:t>
      </w:r>
    </w:p>
    <w:p w14:paraId="4C54846F">
      <w:pPr>
        <w:rPr>
          <w:rFonts w:cs="Arial"/>
          <w:sz w:val="22"/>
          <w:lang w:val="ro-RO"/>
        </w:rPr>
      </w:pPr>
      <w:r>
        <w:rPr>
          <w:rFonts w:cs="Arial"/>
          <w:sz w:val="22"/>
          <w:lang w:val="ro-RO"/>
        </w:rPr>
        <w:t>Temperaturile minime se înregistrează în luna ianuarie, iar în timpul verii, în special în luna iulie, valorile maxime pot depăși 35°C în perioadele de caniculă. Temperatura medie anuală variază între 10,5°C și 11,5°C.</w:t>
      </w:r>
    </w:p>
    <w:p w14:paraId="571FBE30">
      <w:pPr>
        <w:rPr>
          <w:rFonts w:cs="Arial"/>
          <w:sz w:val="22"/>
          <w:lang w:val="ro-RO"/>
        </w:rPr>
      </w:pPr>
      <w:r>
        <w:rPr>
          <w:rFonts w:cs="Arial"/>
          <w:sz w:val="22"/>
          <w:lang w:val="ro-RO"/>
        </w:rPr>
        <w:t>Precipitațiile sunt relativ echilibrate, situându-se între 550 și 700 mm pe an, cu un ușor maxim în lunile de primăvară (aprilie-mai) și toamnă (octombrie-noiembrie), caracteristice climatului continental de câmpie. Aceste condiții de temperatură moderată, perioade îndelungate de soare și precipitații echilibrate creează un cadru favorabil pentru agricultură, dezvoltarea turismului și asigură un nivel ridicat de confort pentru locuitorii comunei.</w:t>
      </w:r>
    </w:p>
    <w:p w14:paraId="5E462251">
      <w:pPr>
        <w:pStyle w:val="3"/>
        <w:numPr>
          <w:ilvl w:val="1"/>
          <w:numId w:val="3"/>
        </w:numPr>
        <w:rPr>
          <w:rFonts w:cs="Arial"/>
          <w:sz w:val="22"/>
          <w:szCs w:val="22"/>
          <w:lang w:val="ro-RO"/>
        </w:rPr>
      </w:pPr>
      <w:bookmarkStart w:id="13" w:name="_Toc201926299"/>
      <w:r>
        <w:rPr>
          <w:rFonts w:cs="Arial"/>
          <w:sz w:val="22"/>
          <w:szCs w:val="22"/>
          <w:lang w:val="ro-RO"/>
        </w:rPr>
        <w:t>Apa</w:t>
      </w:r>
      <w:bookmarkEnd w:id="13"/>
    </w:p>
    <w:p w14:paraId="3940CB80">
      <w:pPr>
        <w:rPr>
          <w:rFonts w:cs="Arial"/>
          <w:sz w:val="22"/>
          <w:lang w:val="ro-RO"/>
        </w:rPr>
      </w:pPr>
      <w:r>
        <w:rPr>
          <w:rFonts w:cs="Arial"/>
          <w:sz w:val="22"/>
          <w:lang w:val="ro-RO"/>
        </w:rPr>
        <w:t>Comuna Șimian este situată în lunca Dunării, beneficiind de acces direct la apele fluviului. Poziționarea într-o zonă joasă, cu soluri aluvionare, favorizează formarea de bălți, canale și terenuri fertile, ceea ce susține agricultura locală. Dunărea reprezintă o sursă importantă de apă pentru irigații, industrie, transport fluvial, pescuit și dezvoltarea unei economii bazate pe resurse acvatice, oferind totodată oportunități pentru turism ecologic și istoric, în special în zona Insulei Șimian.</w:t>
      </w:r>
    </w:p>
    <w:p w14:paraId="05CBD13C">
      <w:pPr>
        <w:rPr>
          <w:rFonts w:cs="Arial"/>
          <w:sz w:val="22"/>
          <w:lang w:val="ro-RO"/>
        </w:rPr>
      </w:pPr>
      <w:r>
        <w:rPr>
          <w:rFonts w:cs="Arial"/>
          <w:sz w:val="22"/>
          <w:lang w:val="ro-RO"/>
        </w:rPr>
        <w:t>Comuna dispune și de ape freatice la adâncimi relativ mici, captate prin puțuri pentru alimentarea cu apă potabilă, irigații agricole și uz gospodăresc. În zona de câmpie, nivelul apei freatice se găsește la 22-26 metri în localitatea Șimian și la 35-42 metri în Dedovița Nouă și Dudașu. Pe terasa joasă a râului Topolnița, care include o parte din localitatea Cerneți, apa freatică se află la adâncimi de 6-8 metri, iar în zona de deal, orizontul freatic coboară la 60-100 metri.</w:t>
      </w:r>
    </w:p>
    <w:p w14:paraId="77269534">
      <w:pPr>
        <w:rPr>
          <w:rFonts w:cs="Arial"/>
          <w:sz w:val="22"/>
          <w:lang w:val="ro-RO"/>
        </w:rPr>
      </w:pPr>
      <w:r>
        <w:rPr>
          <w:rFonts w:cs="Arial"/>
          <w:sz w:val="22"/>
          <w:lang w:val="ro-RO"/>
        </w:rPr>
        <w:t>Datorită compoziției terenurilor (argile, nisipuri, pietrișuri) și acțiunii factorilor climatici, în zonă s-au format râpe, ogașe și fenomene de alunecare sau prăbușire a solului.</w:t>
      </w:r>
    </w:p>
    <w:p w14:paraId="3B2CEBFE">
      <w:pPr>
        <w:rPr>
          <w:rFonts w:cs="Arial"/>
          <w:sz w:val="22"/>
          <w:lang w:val="ro-RO"/>
        </w:rPr>
      </w:pPr>
      <w:r>
        <w:rPr>
          <w:rFonts w:cs="Arial"/>
          <w:sz w:val="22"/>
          <w:lang w:val="ro-RO"/>
        </w:rPr>
        <w:t>Din punct de vedere al riscurilor hidrologice, comuna este expusă periodic la inundații, în special primăvara și vara, când nivelul Dunării poate crește considerabil. Pentru diminuarea acestor riscuri, sunt implementate măsuri de îndiguire, monitorizare a nivelului apei și protecție a terenurilor agricole.</w:t>
      </w:r>
    </w:p>
    <w:p w14:paraId="3A7AB986">
      <w:pPr>
        <w:pStyle w:val="3"/>
        <w:numPr>
          <w:ilvl w:val="1"/>
          <w:numId w:val="3"/>
        </w:numPr>
        <w:rPr>
          <w:rFonts w:cs="Arial"/>
          <w:sz w:val="22"/>
          <w:szCs w:val="22"/>
          <w:lang w:val="ro-RO"/>
        </w:rPr>
      </w:pPr>
      <w:bookmarkStart w:id="14" w:name="_Toc201926300"/>
      <w:r>
        <w:rPr>
          <w:rFonts w:cs="Arial"/>
          <w:sz w:val="22"/>
          <w:szCs w:val="22"/>
          <w:lang w:val="ro-RO"/>
        </w:rPr>
        <w:t>Solul</w:t>
      </w:r>
      <w:bookmarkEnd w:id="14"/>
      <w:r>
        <w:rPr>
          <w:rFonts w:cs="Arial"/>
          <w:sz w:val="22"/>
          <w:szCs w:val="22"/>
          <w:lang w:val="ro-RO"/>
        </w:rPr>
        <w:t xml:space="preserve"> </w:t>
      </w:r>
    </w:p>
    <w:p w14:paraId="0C41A11F">
      <w:pPr>
        <w:rPr>
          <w:rFonts w:cs="Arial"/>
          <w:sz w:val="22"/>
          <w:lang w:val="ro-RO"/>
        </w:rPr>
      </w:pPr>
      <w:r>
        <w:rPr>
          <w:rFonts w:cs="Arial"/>
          <w:sz w:val="22"/>
          <w:lang w:val="ro-RO"/>
        </w:rPr>
        <w:t>Solurile din Comuna Șimian sunt în general fertile - cu conținut ridicat de humus și elemente nutritive,</w:t>
      </w:r>
    </w:p>
    <w:p w14:paraId="77757417">
      <w:pPr>
        <w:ind w:firstLine="0"/>
        <w:rPr>
          <w:rFonts w:cs="Arial"/>
          <w:sz w:val="22"/>
          <w:lang w:val="ro-RO"/>
        </w:rPr>
      </w:pPr>
      <w:r>
        <w:rPr>
          <w:rFonts w:cs="Arial"/>
          <w:sz w:val="22"/>
          <w:lang w:val="ro-RO"/>
        </w:rPr>
        <w:t>ușor lucrabile- ceea ce permite mecanizarea agriculturii și favorabile pentru culturile de câmp, legumicultură și viticultură.</w:t>
      </w:r>
    </w:p>
    <w:p w14:paraId="21257489">
      <w:pPr>
        <w:rPr>
          <w:rFonts w:cs="Arial"/>
          <w:sz w:val="22"/>
          <w:lang w:val="ro-RO"/>
        </w:rPr>
      </w:pPr>
      <w:r>
        <w:rPr>
          <w:rFonts w:cs="Arial"/>
          <w:sz w:val="22"/>
          <w:lang w:val="ro-RO"/>
        </w:rPr>
        <w:t>În Comuna Șimian există mai multe tipuri de soluri: soluri aluviale, cernoziomuri cambice, soluri gleice.</w:t>
      </w:r>
    </w:p>
    <w:p w14:paraId="52E624C1">
      <w:pPr>
        <w:rPr>
          <w:rFonts w:cs="Arial"/>
          <w:sz w:val="22"/>
          <w:lang w:val="ro-RO"/>
        </w:rPr>
      </w:pPr>
      <w:r>
        <w:rPr>
          <w:rFonts w:cs="Arial"/>
          <w:sz w:val="22"/>
          <w:lang w:val="ro-RO"/>
        </w:rPr>
        <w:t>Soluri aluviale (aluviosoluri) sunt mai frecvent întâlnite în zona de luncă a Dunării. Sunt soluri tinere, fertile, formate prin depunerea sedimentelor aduse de apă și sunt foarte bune pentru culturi de porumb, grâu, legume și pomi fructiferi.</w:t>
      </w:r>
    </w:p>
    <w:p w14:paraId="4AC5D181">
      <w:pPr>
        <w:rPr>
          <w:rFonts w:cs="Arial"/>
          <w:sz w:val="22"/>
          <w:lang w:val="ro-RO"/>
        </w:rPr>
      </w:pPr>
      <w:r>
        <w:rPr>
          <w:rFonts w:cs="Arial"/>
          <w:sz w:val="22"/>
          <w:lang w:val="ro-RO"/>
        </w:rPr>
        <w:t>Cernoziomuri cambice sunt prezente în partea mai înaltă a comunei (zone ușor deluroase sau de câmpie veche). Sunt soluri negre, profunde și bogate în humus, ideale pentru agricultură și oferă randamente ridicate în cereale și plante tehnice.</w:t>
      </w:r>
    </w:p>
    <w:p w14:paraId="236B6F1C">
      <w:pPr>
        <w:rPr>
          <w:rFonts w:cs="Arial"/>
          <w:sz w:val="22"/>
          <w:lang w:val="ro-RO"/>
        </w:rPr>
      </w:pPr>
      <w:r>
        <w:rPr>
          <w:rFonts w:cs="Arial"/>
          <w:sz w:val="22"/>
          <w:lang w:val="ro-RO"/>
        </w:rPr>
        <w:t>Soluri gleice apar în zonele cu exces de umiditate sau drenaj slab (în apropierea apelor stagnante sau pe terenuri joase). Zonele cu acest tip de sol necesită lucrări de ameliorare și drenaj pentru utilizarea agricolă eficientă.</w:t>
      </w:r>
    </w:p>
    <w:p w14:paraId="06DF82F5">
      <w:pPr>
        <w:ind w:firstLine="0"/>
        <w:rPr>
          <w:rFonts w:cs="Arial"/>
          <w:sz w:val="22"/>
          <w:lang w:val="ro-RO"/>
        </w:rPr>
      </w:pPr>
    </w:p>
    <w:p w14:paraId="65B92BAA">
      <w:pPr>
        <w:pStyle w:val="3"/>
        <w:numPr>
          <w:ilvl w:val="1"/>
          <w:numId w:val="3"/>
        </w:numPr>
        <w:rPr>
          <w:rFonts w:cs="Arial"/>
          <w:sz w:val="22"/>
          <w:szCs w:val="22"/>
          <w:lang w:val="ro-RO"/>
        </w:rPr>
      </w:pPr>
      <w:bookmarkStart w:id="15" w:name="_Toc201926301"/>
      <w:r>
        <w:rPr>
          <w:rFonts w:cs="Arial"/>
          <w:sz w:val="22"/>
          <w:szCs w:val="22"/>
          <w:lang w:val="ro-RO"/>
        </w:rPr>
        <w:t>Flora și fauna</w:t>
      </w:r>
      <w:bookmarkEnd w:id="15"/>
    </w:p>
    <w:p w14:paraId="0CDCD21B">
      <w:pPr>
        <w:rPr>
          <w:rFonts w:cs="Arial"/>
          <w:b/>
          <w:bCs/>
          <w:sz w:val="22"/>
          <w:lang w:val="ro-RO"/>
        </w:rPr>
      </w:pPr>
      <w:r>
        <w:rPr>
          <w:rFonts w:cs="Arial"/>
          <w:b/>
          <w:bCs/>
          <w:sz w:val="22"/>
          <w:lang w:val="ro-RO"/>
        </w:rPr>
        <w:t>Flora</w:t>
      </w:r>
    </w:p>
    <w:p w14:paraId="64FCDC83">
      <w:pPr>
        <w:rPr>
          <w:rFonts w:cs="Arial"/>
          <w:sz w:val="22"/>
          <w:lang w:val="ro-RO"/>
        </w:rPr>
      </w:pPr>
      <w:bookmarkStart w:id="16" w:name="OLE_LINK14"/>
      <w:r>
        <w:rPr>
          <w:rFonts w:cs="Arial"/>
          <w:sz w:val="22"/>
          <w:lang w:val="ro-RO"/>
        </w:rPr>
        <w:t xml:space="preserve">Datorită climatului temperat continental cu influențe submediteraneene, pe teritoriul Comunei Șimian se remarcă o floră de origine meridională (submediteraneană sau balcanică). </w:t>
      </w:r>
    </w:p>
    <w:p w14:paraId="53A47C09">
      <w:pPr>
        <w:rPr>
          <w:rFonts w:cs="Arial"/>
          <w:sz w:val="22"/>
          <w:lang w:val="ro-RO"/>
        </w:rPr>
      </w:pPr>
      <w:r>
        <w:rPr>
          <w:rFonts w:cs="Arial"/>
          <w:sz w:val="22"/>
          <w:lang w:val="ro-RO"/>
        </w:rPr>
        <w:t xml:space="preserve">Stejarul se regăsește cu precădere în zona dealurilor din nordul comunei, fiind vorba de Dealul Gâradanului și Dealul Curila, unde pădurile de stejar sunt amestecate cu alte specii, într-un peisaj eterogen compus din pășuni, fânețe și zone viticole. Pe lângă stejar, întâlnim deasemenea cer, gârniță și salcâm, în special pe Dealul Poroina, unde se găsesc și livezi destinate pomiculturii. În zonele erodate și degradate, se dezvoltă asociații de bărboasă, dar și de Poabulboasa . Pe pajiști, vegetația conține specii din familii de plante erbacee – graminee (Elymus Asper și Dasypyrum Villosum). </w:t>
      </w:r>
    </w:p>
    <w:p w14:paraId="2D1F28BE">
      <w:pPr>
        <w:rPr>
          <w:rFonts w:cs="Arial"/>
          <w:sz w:val="22"/>
          <w:lang w:val="ro-RO"/>
        </w:rPr>
      </w:pPr>
      <w:r>
        <w:rPr>
          <w:rFonts w:cs="Arial"/>
          <w:sz w:val="22"/>
          <w:lang w:val="ro-RO"/>
        </w:rPr>
        <w:t>Vegetația de luncă este întâlnită în zona Văii Topolniței, cu plopi (Populus alba), sălci (Salix alba), soc (Sambucus nigra), trestie sau papură. Vegetația poate suferi schimbări în funcție de amenajările antropice desfășurate de-a lungul văii, în zona satelor Dudașu și Cerneți.</w:t>
      </w:r>
    </w:p>
    <w:bookmarkEnd w:id="16"/>
    <w:p w14:paraId="042E89B3">
      <w:pPr>
        <w:rPr>
          <w:rFonts w:cs="Arial"/>
          <w:b/>
          <w:bCs/>
          <w:sz w:val="22"/>
          <w:lang w:val="ro-RO"/>
        </w:rPr>
      </w:pPr>
      <w:r>
        <w:rPr>
          <w:rFonts w:cs="Arial"/>
          <w:b/>
          <w:bCs/>
          <w:sz w:val="22"/>
          <w:lang w:val="ro-RO"/>
        </w:rPr>
        <w:t>Fauna</w:t>
      </w:r>
    </w:p>
    <w:p w14:paraId="06B43914">
      <w:pPr>
        <w:ind w:firstLine="0"/>
        <w:rPr>
          <w:rFonts w:cs="Arial" w:eastAsiaTheme="minorEastAsia"/>
          <w:sz w:val="22"/>
          <w:lang w:val="ro-RO"/>
        </w:rPr>
      </w:pPr>
      <w:r>
        <w:rPr>
          <w:rFonts w:cs="Arial" w:eastAsiaTheme="minorEastAsia"/>
          <w:sz w:val="22"/>
          <w:lang w:val="ro-RO"/>
        </w:rPr>
        <w:t xml:space="preserve">Fauna este reprezentată în primul rând de păsări precum pițigoiul (Paruș major), sticletele (Carudelis carudelis), privighetoarea (Luscinia luscinia), cucul (Cuculus canorus), pupăza (Upupa epos), ciocănitoarea de stejar (Dendrocopus medius). De asemenea, pot fi vizibile în zonele lanurilor graurii (Sturnus vulgaris), cioara de semănătură (Corvus frugilegus), cioara cenușie (Corvus corone cornix), guguștucul (Streptopelia decaocto), vrăbii (Passer domesticus), rândunici (Hirundo rustica), turturele (Streptopelia turtur), coțofana (Pică pică), prepelița (Coturnix coturnix), potârnichea (Perdix perdix) și barza (Ciconia ciconia). Ca păsări prădătoare se remarcă eretele (Circus cyaneus) și cucuveaua (Athene nocyua). </w:t>
      </w:r>
    </w:p>
    <w:p w14:paraId="4AFE79CC">
      <w:pPr>
        <w:ind w:firstLine="0"/>
        <w:rPr>
          <w:rFonts w:cs="Arial" w:eastAsiaTheme="minorEastAsia"/>
          <w:sz w:val="22"/>
          <w:lang w:val="ro-RO"/>
        </w:rPr>
      </w:pPr>
      <w:r>
        <w:rPr>
          <w:rFonts w:cs="Arial" w:eastAsiaTheme="minorEastAsia"/>
          <w:sz w:val="22"/>
          <w:lang w:val="ro-RO"/>
        </w:rPr>
        <w:t xml:space="preserve">Familia rozătoarelor este reprezentată de șoarecele de câmp (Microtus arvalis), popândăul (Citellus citellus), hârciogul (Cricetus cricetus). </w:t>
      </w:r>
    </w:p>
    <w:p w14:paraId="1F937688">
      <w:pPr>
        <w:rPr>
          <w:rFonts w:cs="Arial" w:eastAsiaTheme="minorEastAsia"/>
          <w:sz w:val="22"/>
          <w:lang w:val="ro-RO"/>
        </w:rPr>
      </w:pPr>
      <w:r>
        <w:rPr>
          <w:rFonts w:cs="Arial" w:eastAsiaTheme="minorEastAsia"/>
          <w:sz w:val="22"/>
          <w:lang w:val="ro-RO"/>
        </w:rPr>
        <w:t>Printre mamifere în zona de silvostepă se regăsesc vulpea (Vulpes vulpes), nevăstuica (Mustela nivalis), dihorul (Putorius putorius), iepurele (Lepus europaeus).  În zona forestieră, pe teritoriul comunei sunt întâlnite mamifere precum căprioara (Apreolus apreolus) și mistrețul (Sus scrofa).</w:t>
      </w:r>
    </w:p>
    <w:p w14:paraId="7736F6B3">
      <w:pPr>
        <w:rPr>
          <w:rFonts w:cs="Arial" w:eastAsiaTheme="minorEastAsia"/>
          <w:sz w:val="22"/>
          <w:lang w:val="ro-RO"/>
        </w:rPr>
      </w:pPr>
      <w:r>
        <w:rPr>
          <w:rFonts w:cs="Arial" w:eastAsiaTheme="minorEastAsia"/>
          <w:sz w:val="22"/>
          <w:lang w:val="ro-RO"/>
        </w:rPr>
        <w:t xml:space="preserve">Printre reptile se numără broasca țestoasă (Testudo hermani), frecventă în zonele de sud și est ale depresiunii, broasca de pământ brună (Pelabates fuscus), șopârla de luncă (Lacerta practicola pontica), gușterul (Lacerta viridis), șopârla de câmp (Lacerta agilis), șopârla dobrogeană (Lacerta taurica), șarpele de pădure (Elaphe longissima), șarpele de alun sau șarpele neted (Coronella austrica), Natrix tesselata, și șarpele de casă (Natrix natrix). De asemenea întâlnim diferite specii de melci precum Ahdida frumentorum și râma (Lumbricus terrestris). Ca insecte se regăsesc lăcustele (Locusta migratoria), călugărița (Mantis religiosa), cărăbușul de mai (Melolontha melolontha), libelula, colibița, greierul de câmp și fluturii. </w:t>
      </w:r>
    </w:p>
    <w:p w14:paraId="4850D2B6">
      <w:pPr>
        <w:ind w:firstLine="0"/>
        <w:rPr>
          <w:rFonts w:cs="Arial" w:eastAsiaTheme="minorEastAsia"/>
          <w:sz w:val="22"/>
          <w:lang w:val="ro-RO"/>
        </w:rPr>
      </w:pPr>
    </w:p>
    <w:p w14:paraId="2BCA25D2">
      <w:pPr>
        <w:rPr>
          <w:rFonts w:cs="Arial" w:eastAsiaTheme="minorEastAsia"/>
          <w:b/>
          <w:bCs/>
          <w:sz w:val="22"/>
          <w:lang w:val="ro-RO"/>
        </w:rPr>
      </w:pPr>
      <w:r>
        <w:rPr>
          <w:rFonts w:cs="Arial" w:eastAsiaTheme="minorEastAsia"/>
          <w:b/>
          <w:bCs/>
          <w:sz w:val="22"/>
          <w:lang w:val="ro-RO"/>
        </w:rPr>
        <w:t>Rezervaţii naturale şi zone protejate</w:t>
      </w:r>
    </w:p>
    <w:p w14:paraId="669432AA">
      <w:pPr>
        <w:rPr>
          <w:rFonts w:cs="Arial" w:eastAsiaTheme="minorEastAsia"/>
          <w:sz w:val="22"/>
          <w:lang w:val="ro-RO"/>
        </w:rPr>
      </w:pPr>
      <w:r>
        <w:rPr>
          <w:rFonts w:cs="Arial" w:eastAsiaTheme="minorEastAsia"/>
          <w:sz w:val="22"/>
          <w:lang w:val="ro-RO"/>
        </w:rPr>
        <w:t xml:space="preserve">Existenţa unor elemente naturale cu valoare excepţională, rare şi originale – forme de relief, peisaj, floră şi faună, apreciate generic drept curioriozităţi sau monumente ale naturii- a impus organizarea lor în arii protejate, de tipul parcurilor şi rezervaţiilor. </w:t>
      </w:r>
    </w:p>
    <w:p w14:paraId="5E689CFE">
      <w:pPr>
        <w:ind w:firstLine="0"/>
        <w:rPr>
          <w:rFonts w:cs="Arial" w:eastAsiaTheme="minorEastAsia"/>
          <w:sz w:val="22"/>
          <w:lang w:val="ro-RO"/>
        </w:rPr>
      </w:pPr>
      <w:r>
        <w:rPr>
          <w:rFonts w:cs="Arial" w:eastAsiaTheme="minorEastAsia"/>
          <w:sz w:val="22"/>
          <w:lang w:val="ro-RO"/>
        </w:rPr>
        <w:t xml:space="preserve">Comuna Șimian cuprinde în partea de Nord-Est a teritoriului o porțiune din Situl Natura 2000 - </w:t>
      </w:r>
      <w:r>
        <w:rPr>
          <w:rFonts w:cs="Arial" w:eastAsiaTheme="minorEastAsia"/>
          <w:b/>
          <w:bCs/>
          <w:sz w:val="22"/>
          <w:lang w:val="ro-RO"/>
        </w:rPr>
        <w:t>ROSCI0420 Oprănești.</w:t>
      </w:r>
      <w:r>
        <w:rPr>
          <w:rFonts w:cs="Arial" w:eastAsiaTheme="minorEastAsia"/>
          <w:sz w:val="22"/>
          <w:lang w:val="ro-RO"/>
        </w:rPr>
        <w:t xml:space="preserve"> </w:t>
      </w:r>
    </w:p>
    <w:p w14:paraId="6E5B9210">
      <w:pPr>
        <w:numPr>
          <w:ilvl w:val="0"/>
          <w:numId w:val="5"/>
        </w:numPr>
        <w:contextualSpacing/>
        <w:rPr>
          <w:rFonts w:cs="Arial" w:eastAsiaTheme="minorEastAsia"/>
          <w:sz w:val="22"/>
          <w:lang w:val="ro-RO"/>
        </w:rPr>
      </w:pPr>
      <w:r>
        <w:rPr>
          <w:rFonts w:cs="Arial" w:eastAsiaTheme="minorEastAsia"/>
          <w:b/>
          <w:sz w:val="22"/>
          <w:lang w:val="ro-RO"/>
        </w:rPr>
        <w:t>Oprănești</w:t>
      </w:r>
    </w:p>
    <w:p w14:paraId="7527E212">
      <w:pPr>
        <w:ind w:left="720" w:firstLine="0"/>
        <w:contextualSpacing/>
        <w:rPr>
          <w:rFonts w:cs="Arial" w:eastAsiaTheme="minorEastAsia"/>
          <w:sz w:val="22"/>
          <w:lang w:val="ro-RO"/>
        </w:rPr>
      </w:pPr>
    </w:p>
    <w:p w14:paraId="49FF6F31">
      <w:pPr>
        <w:pBdr>
          <w:top w:val="single" w:color="auto" w:sz="4" w:space="1"/>
          <w:left w:val="single" w:color="auto" w:sz="4" w:space="7"/>
          <w:bottom w:val="single" w:color="auto" w:sz="4" w:space="1"/>
          <w:right w:val="single" w:color="auto" w:sz="4" w:space="4"/>
        </w:pBdr>
        <w:ind w:firstLine="0"/>
        <w:rPr>
          <w:rFonts w:cs="Arial" w:eastAsiaTheme="minorEastAsia"/>
          <w:b/>
          <w:bCs/>
          <w:sz w:val="22"/>
          <w:lang w:val="ro-RO"/>
        </w:rPr>
      </w:pPr>
      <w:r>
        <w:rPr>
          <w:rFonts w:cs="Arial" w:eastAsiaTheme="minorEastAsia"/>
          <w:b/>
          <w:bCs/>
          <w:sz w:val="22"/>
          <w:lang w:val="ro-RO"/>
        </w:rPr>
        <w:t>Nume arie protejata -  Oprănești</w:t>
      </w:r>
    </w:p>
    <w:p w14:paraId="67597C8C">
      <w:pPr>
        <w:pBdr>
          <w:top w:val="single" w:color="auto" w:sz="4" w:space="1"/>
          <w:left w:val="single" w:color="auto" w:sz="4" w:space="7"/>
          <w:bottom w:val="single" w:color="auto" w:sz="4" w:space="1"/>
          <w:right w:val="single" w:color="auto" w:sz="4" w:space="4"/>
        </w:pBdr>
        <w:ind w:firstLine="0"/>
        <w:rPr>
          <w:rFonts w:cs="Arial" w:eastAsiaTheme="minorEastAsia"/>
          <w:b/>
          <w:bCs/>
          <w:sz w:val="22"/>
          <w:lang w:val="ro-RO"/>
        </w:rPr>
      </w:pPr>
      <w:r>
        <w:rPr>
          <w:rFonts w:cs="Arial" w:eastAsiaTheme="minorEastAsia"/>
          <w:b/>
          <w:bCs/>
          <w:sz w:val="22"/>
          <w:lang w:val="ro-RO"/>
        </w:rPr>
        <w:t>Cod Natura 2000 - ROSCI0420</w:t>
      </w:r>
    </w:p>
    <w:p w14:paraId="6F0BE737">
      <w:pPr>
        <w:pBdr>
          <w:top w:val="single" w:color="auto" w:sz="4" w:space="1"/>
          <w:left w:val="single" w:color="auto" w:sz="4" w:space="4"/>
          <w:bottom w:val="single" w:color="auto" w:sz="4" w:space="1"/>
          <w:right w:val="single" w:color="auto" w:sz="4" w:space="4"/>
          <w:between w:val="single" w:color="auto" w:sz="4" w:space="1"/>
        </w:pBdr>
        <w:ind w:firstLine="0"/>
        <w:rPr>
          <w:rFonts w:cs="Arial" w:eastAsiaTheme="minorEastAsia"/>
          <w:sz w:val="22"/>
          <w:lang w:val="ro-RO"/>
        </w:rPr>
      </w:pPr>
      <w:r>
        <w:rPr>
          <w:rFonts w:cs="Arial" w:eastAsiaTheme="minorEastAsia"/>
          <w:b/>
          <w:bCs/>
          <w:sz w:val="22"/>
          <w:lang w:val="ro-RO"/>
        </w:rPr>
        <w:t xml:space="preserve">Oprănești, </w:t>
      </w:r>
      <w:r>
        <w:rPr>
          <w:rFonts w:cs="Arial" w:eastAsiaTheme="minorEastAsia"/>
          <w:sz w:val="22"/>
          <w:lang w:val="ro-RO"/>
        </w:rPr>
        <w:t xml:space="preserve">declarată prin ORDIN nr. 46 din 12 ianuarie 2016, este un sit Natura 2000 de importanță comunitară </w:t>
      </w:r>
      <w:r>
        <w:rPr>
          <w:rFonts w:cs="Arial" w:eastAsiaTheme="minorEastAsia"/>
          <w:b/>
          <w:bCs/>
          <w:sz w:val="22"/>
          <w:lang w:val="ro-RO"/>
        </w:rPr>
        <w:t>SCI</w:t>
      </w:r>
      <w:r>
        <w:rPr>
          <w:rFonts w:cs="Arial" w:eastAsiaTheme="minorEastAsia"/>
          <w:sz w:val="22"/>
          <w:lang w:val="ro-RO"/>
        </w:rPr>
        <w:t xml:space="preserve">. </w:t>
      </w:r>
    </w:p>
    <w:p w14:paraId="36B21973">
      <w:pPr>
        <w:pBdr>
          <w:top w:val="single" w:color="auto" w:sz="4" w:space="1"/>
          <w:left w:val="single" w:color="auto" w:sz="4" w:space="4"/>
          <w:bottom w:val="single" w:color="auto" w:sz="4" w:space="1"/>
          <w:right w:val="single" w:color="auto" w:sz="4" w:space="4"/>
          <w:between w:val="single" w:color="auto" w:sz="4" w:space="1"/>
        </w:pBdr>
        <w:ind w:firstLine="0"/>
        <w:rPr>
          <w:rFonts w:cs="Arial" w:eastAsiaTheme="minorEastAsia"/>
          <w:sz w:val="22"/>
          <w:lang w:val="ro-RO"/>
        </w:rPr>
      </w:pPr>
      <w:r>
        <w:rPr>
          <w:rFonts w:cs="Arial" w:eastAsiaTheme="minorEastAsia"/>
          <w:b/>
          <w:bCs/>
          <w:sz w:val="22"/>
          <w:lang w:val="ro-RO"/>
        </w:rPr>
        <w:t>Situri de importanță comunitară – SCI</w:t>
      </w:r>
      <w:r>
        <w:rPr>
          <w:rFonts w:cs="Arial" w:eastAsiaTheme="minorEastAsia"/>
          <w:sz w:val="22"/>
          <w:lang w:val="ro-RO"/>
        </w:rPr>
        <w:t xml:space="preserve"> – arii naturale care, in regiunea sau in regiunile biogeografice in care exista, contribuie semnificativ la menținerea sau restaurarea la o stare de conservare favorabila a habitatelor naturale  sau a speciilor de interes comunitar si care pot contribui semnificativ la coerenta retelei „NATURA 2000″ si/sau contribuie semnificativ la menținerea diversității biologice in regiunea ori regiunile biogeografice respective. Pentru speciile de animale cu areal larg de răspândire, siturile de importanta comunitara ar trebui sa corespunda zonelor din areal in care sunt prezenți factori abiotici si biotici esentiali pentru existenta si reproducerea acestor specii. (Sursa: ANANP)</w:t>
      </w:r>
    </w:p>
    <w:p w14:paraId="69871CFA">
      <w:pPr>
        <w:pBdr>
          <w:top w:val="single" w:color="auto" w:sz="4" w:space="1"/>
          <w:left w:val="single" w:color="auto" w:sz="4" w:space="4"/>
          <w:bottom w:val="single" w:color="auto" w:sz="4" w:space="1"/>
          <w:right w:val="single" w:color="auto" w:sz="4" w:space="4"/>
          <w:between w:val="single" w:color="auto" w:sz="4" w:space="1"/>
        </w:pBdr>
        <w:ind w:firstLine="0"/>
        <w:rPr>
          <w:rFonts w:cs="Arial" w:eastAsiaTheme="minorEastAsia"/>
          <w:sz w:val="22"/>
          <w:lang w:val="ro-RO"/>
        </w:rPr>
      </w:pPr>
      <w:r>
        <w:rPr>
          <w:rFonts w:cs="Arial" w:eastAsiaTheme="minorEastAsia"/>
          <w:sz w:val="22"/>
          <w:lang w:val="ro-RO"/>
        </w:rPr>
        <w:t xml:space="preserve">Situl Oprănești constituie o zonă de 1339.70 hectare, cu două habitate protejate UE și o specie protejată UE. Situl este important pentru conservarea speciei Testudo hermanni, un tip de țestoasă. </w:t>
      </w:r>
    </w:p>
    <w:p w14:paraId="2A24CC20">
      <w:pPr>
        <w:rPr>
          <w:rFonts w:cs="Arial"/>
          <w:i/>
          <w:iCs/>
          <w:sz w:val="22"/>
          <w:lang w:val="ro-RO"/>
        </w:rPr>
      </w:pPr>
    </w:p>
    <w:p w14:paraId="0BCCFA3E">
      <w:pPr>
        <w:pStyle w:val="3"/>
        <w:numPr>
          <w:ilvl w:val="1"/>
          <w:numId w:val="3"/>
        </w:numPr>
        <w:rPr>
          <w:rFonts w:cs="Arial"/>
          <w:sz w:val="22"/>
          <w:szCs w:val="22"/>
          <w:lang w:val="ro-RO"/>
        </w:rPr>
      </w:pPr>
      <w:bookmarkStart w:id="17" w:name="_Toc201926302"/>
      <w:r>
        <w:rPr>
          <w:rFonts w:cs="Arial"/>
          <w:sz w:val="22"/>
          <w:szCs w:val="22"/>
          <w:lang w:val="ro-RO"/>
        </w:rPr>
        <w:t>Resurse</w:t>
      </w:r>
      <w:bookmarkEnd w:id="17"/>
      <w:r>
        <w:rPr>
          <w:rFonts w:cs="Arial"/>
          <w:sz w:val="22"/>
          <w:szCs w:val="22"/>
          <w:lang w:val="ro-RO"/>
        </w:rPr>
        <w:t xml:space="preserve"> </w:t>
      </w:r>
    </w:p>
    <w:p w14:paraId="38288591">
      <w:pPr>
        <w:rPr>
          <w:rFonts w:cs="Arial" w:eastAsiaTheme="minorEastAsia"/>
          <w:sz w:val="22"/>
          <w:lang w:val="ro-RO"/>
        </w:rPr>
      </w:pPr>
      <w:r>
        <w:rPr>
          <w:rFonts w:cs="Arial" w:eastAsiaTheme="minorEastAsia"/>
          <w:sz w:val="22"/>
          <w:lang w:val="ro-RO"/>
        </w:rPr>
        <w:t xml:space="preserve">Structura geologică și natura litologică din zona de câmpie, încadrează terenurile în categoria bune de fundare. Dezvoltarea construcțiilor și extinderea vetrei satelor se poate realiza fără restricții. </w:t>
      </w:r>
    </w:p>
    <w:p w14:paraId="0598D350">
      <w:pPr>
        <w:rPr>
          <w:rFonts w:cs="Arial" w:eastAsiaTheme="minorEastAsia"/>
          <w:sz w:val="22"/>
          <w:lang w:val="ro-RO"/>
        </w:rPr>
      </w:pPr>
      <w:r>
        <w:rPr>
          <w:rFonts w:cs="Arial" w:eastAsiaTheme="minorEastAsia"/>
          <w:sz w:val="22"/>
          <w:lang w:val="ro-RO"/>
        </w:rPr>
        <w:t xml:space="preserve">Din punct de vedere </w:t>
      </w:r>
      <w:r>
        <w:rPr>
          <w:rFonts w:cs="Arial" w:eastAsiaTheme="minorEastAsia"/>
          <w:b/>
          <w:bCs/>
          <w:sz w:val="22"/>
          <w:lang w:val="ro-RO"/>
        </w:rPr>
        <w:t>geologic,</w:t>
      </w:r>
      <w:r>
        <w:rPr>
          <w:rFonts w:cs="Arial" w:eastAsiaTheme="minorEastAsia"/>
          <w:sz w:val="22"/>
          <w:lang w:val="ro-RO"/>
        </w:rPr>
        <w:t xml:space="preserve"> pe teritoriul comunei sunt prezente roci slab cimentate, de tipul depozitelor loessoide, nisipurilor sau pietrișurilor care stau pe un pat impermeabil format din argile și marne. În zona Deperesiunii Severinului, în depozitele din terasele Dunării, sunt prezente pietrișuri. În zona deluroasă, se întâlnesc argile și marne, cu alternanțe de nisipuri care dau un grad redus acțiunii agenților externi și favorizează apariția proceselor de versant (prăbușiri și alunecări de teren)</w:t>
      </w:r>
      <w:r>
        <w:rPr>
          <w:rFonts w:cs="Arial" w:eastAsiaTheme="minorEastAsia"/>
          <w:sz w:val="22"/>
          <w:vertAlign w:val="superscript"/>
          <w:lang w:val="ro-RO"/>
        </w:rPr>
        <w:footnoteReference w:id="0"/>
      </w:r>
      <w:r>
        <w:rPr>
          <w:rFonts w:cs="Arial" w:eastAsiaTheme="minorEastAsia"/>
          <w:sz w:val="22"/>
          <w:lang w:val="ro-RO"/>
        </w:rPr>
        <w:t>. Solurile brun roșcate se întâlnesc în partea mijlocie a versanților  și în porțiunile de teren mai așezate.</w:t>
      </w:r>
    </w:p>
    <w:p w14:paraId="52EF4A0D">
      <w:pPr>
        <w:rPr>
          <w:rFonts w:eastAsia="Verdana" w:cs="Arial"/>
          <w:sz w:val="22"/>
          <w:lang w:val="ro-RO"/>
        </w:rPr>
      </w:pPr>
      <w:r>
        <w:rPr>
          <w:rFonts w:eastAsia="Verdana" w:cs="Arial"/>
          <w:b/>
          <w:bCs/>
          <w:sz w:val="22"/>
          <w:lang w:val="ro-RO"/>
        </w:rPr>
        <w:t>Relieful</w:t>
      </w:r>
      <w:r>
        <w:rPr>
          <w:rFonts w:eastAsia="Verdana" w:cs="Arial"/>
          <w:sz w:val="22"/>
          <w:lang w:val="ro-RO"/>
        </w:rPr>
        <w:t xml:space="preserve"> este caracterizat de zone de câmpie și de deal. </w:t>
      </w:r>
    </w:p>
    <w:p w14:paraId="40F8B215">
      <w:pPr>
        <w:ind w:firstLine="0"/>
        <w:rPr>
          <w:rFonts w:eastAsia="Verdana" w:cs="Arial"/>
          <w:sz w:val="22"/>
          <w:lang w:val="ro-RO"/>
        </w:rPr>
      </w:pPr>
      <w:r>
        <w:rPr>
          <w:rFonts w:eastAsia="Verdana" w:cs="Arial"/>
          <w:sz w:val="22"/>
          <w:lang w:val="ro-RO"/>
        </w:rPr>
        <w:t xml:space="preserve">Depresiunea Severinului are un grad de fragmentare redus și o inclinare ușoară către sud. Formarea acesteia a fost influențată de fluviul Dunăre. În cadrul acesteia, se întâlnesc de asemenea asocieri de coline și terase. </w:t>
      </w:r>
    </w:p>
    <w:p w14:paraId="1FD4B5E9">
      <w:pPr>
        <w:ind w:firstLine="360"/>
        <w:rPr>
          <w:rFonts w:eastAsia="Verdana" w:cs="Arial"/>
          <w:sz w:val="22"/>
          <w:lang w:val="ro-RO"/>
        </w:rPr>
      </w:pPr>
      <w:r>
        <w:rPr>
          <w:rFonts w:eastAsia="Verdana" w:cs="Arial"/>
          <w:sz w:val="22"/>
          <w:lang w:val="ro-RO"/>
        </w:rPr>
        <w:t>Sunt prezente ogașele care în partea de est a depresiunii pot avea procese de eroziuni și alunecări de teren. Astfel, pe teritoriul comunei întâlnim următoarele ogașe cu următoarele caracteristici:</w:t>
      </w:r>
    </w:p>
    <w:p w14:paraId="3E535CCC">
      <w:pPr>
        <w:numPr>
          <w:ilvl w:val="0"/>
          <w:numId w:val="6"/>
        </w:numPr>
        <w:contextualSpacing/>
        <w:rPr>
          <w:rFonts w:eastAsia="Verdana" w:cs="Arial"/>
          <w:sz w:val="22"/>
          <w:lang w:val="ro-RO"/>
        </w:rPr>
      </w:pPr>
      <w:r>
        <w:rPr>
          <w:rFonts w:eastAsia="Verdana" w:cs="Arial"/>
          <w:sz w:val="22"/>
          <w:lang w:val="ro-RO"/>
        </w:rPr>
        <w:t>Ogașul Chioșmesei – vale torențială, care trece la nord de Câmpul Cerneților. Are o lungime de cca. 4 km și o deschidere mare spre malul stâng al Topolniței.</w:t>
      </w:r>
    </w:p>
    <w:p w14:paraId="1F1BDDF2">
      <w:pPr>
        <w:numPr>
          <w:ilvl w:val="0"/>
          <w:numId w:val="6"/>
        </w:numPr>
        <w:contextualSpacing/>
        <w:rPr>
          <w:rFonts w:eastAsia="Verdana" w:cs="Arial"/>
          <w:sz w:val="22"/>
          <w:lang w:val="ro-RO"/>
        </w:rPr>
      </w:pPr>
      <w:r>
        <w:rPr>
          <w:rFonts w:eastAsia="Verdana" w:cs="Arial"/>
          <w:sz w:val="22"/>
          <w:lang w:val="ro-RO"/>
        </w:rPr>
        <w:t>Ogașul Sec</w:t>
      </w:r>
    </w:p>
    <w:p w14:paraId="0B1E4C9B">
      <w:pPr>
        <w:numPr>
          <w:ilvl w:val="0"/>
          <w:numId w:val="6"/>
        </w:numPr>
        <w:contextualSpacing/>
        <w:rPr>
          <w:rFonts w:eastAsia="Verdana" w:cs="Arial"/>
          <w:sz w:val="22"/>
          <w:lang w:val="ro-RO"/>
        </w:rPr>
      </w:pPr>
      <w:r>
        <w:rPr>
          <w:rFonts w:eastAsia="Verdana" w:cs="Arial"/>
          <w:sz w:val="22"/>
          <w:lang w:val="ro-RO"/>
        </w:rPr>
        <w:t>Ogașul Cerneților  - are un aspect torențial și prezintă un bazin de recepție format la nord de satul Valea Copcii, respectiv sub Dealul Marmanului. Acesta trece pe la vest și sud-vest de satul Cerneți</w:t>
      </w:r>
    </w:p>
    <w:p w14:paraId="246D98EC">
      <w:pPr>
        <w:numPr>
          <w:ilvl w:val="0"/>
          <w:numId w:val="6"/>
        </w:numPr>
        <w:contextualSpacing/>
        <w:rPr>
          <w:rFonts w:eastAsia="Verdana" w:cs="Arial"/>
          <w:sz w:val="22"/>
          <w:lang w:val="ro-RO"/>
        </w:rPr>
      </w:pPr>
      <w:r>
        <w:rPr>
          <w:rFonts w:eastAsia="Verdana" w:cs="Arial"/>
          <w:sz w:val="22"/>
          <w:lang w:val="ro-RO"/>
        </w:rPr>
        <w:t>Ogașul Băran – se regăsește la est de satul Valea Copcii, se deschide în Valea Poroina, iar din stânga apare valea torențială Vulturul. Are o lungime de 6 km. Aceste ogașe se ramifică în zona mai înaltă a depresiunii, la contactul cu Dealurile Coșuștei, unde fragmentarea terenurilor este foarte accentuată și se remarcă o degradare puternică a terenurilor (alunecări de teren și surpări) în dreptul satelor Valea Copcii sau Cerneți.</w:t>
      </w:r>
    </w:p>
    <w:p w14:paraId="1B905B92">
      <w:pPr>
        <w:ind w:firstLine="360"/>
        <w:rPr>
          <w:rFonts w:eastAsia="Verdana" w:cs="Arial"/>
          <w:sz w:val="22"/>
          <w:lang w:val="ro-RO"/>
        </w:rPr>
      </w:pPr>
      <w:r>
        <w:rPr>
          <w:rFonts w:eastAsia="Verdana" w:cs="Arial"/>
          <w:sz w:val="22"/>
          <w:lang w:val="ro-RO"/>
        </w:rPr>
        <w:t>În cadrul Satului Valea Copcii, se dezvoltă în partea de est un bazin de recepție unde sunt frecvente alunecări de teren, surpări sau râpe torențiale.</w:t>
      </w:r>
    </w:p>
    <w:p w14:paraId="0C15AE9C">
      <w:pPr>
        <w:ind w:firstLine="360"/>
        <w:rPr>
          <w:rFonts w:eastAsia="Verdana" w:cs="Arial"/>
          <w:sz w:val="22"/>
          <w:lang w:val="ro-RO"/>
        </w:rPr>
      </w:pPr>
      <w:r>
        <w:rPr>
          <w:rFonts w:eastAsia="Verdana" w:cs="Arial"/>
          <w:sz w:val="22"/>
          <w:lang w:val="ro-RO"/>
        </w:rPr>
        <w:t>În dreptul satelor Șimian și Cerneți, întâlnim podul teraselor joase și medii ale fluviului Dunărea din estul Depresiunii Severinului, fiind vorba de Câmpul Cernețului ce corespunde terasei de 50-60 m și respectiv Câmpul Bărănului care apare în est satelor Șimian și Dedovița Nouă, cu o altitudine medie de 100 m</w:t>
      </w:r>
      <w:r>
        <w:rPr>
          <w:rFonts w:eastAsia="Verdana" w:cs="Arial"/>
          <w:sz w:val="22"/>
          <w:vertAlign w:val="superscript"/>
          <w:lang w:val="ro-RO"/>
        </w:rPr>
        <w:footnoteReference w:id="1"/>
      </w:r>
      <w:r>
        <w:rPr>
          <w:rFonts w:eastAsia="Verdana" w:cs="Arial"/>
          <w:sz w:val="22"/>
          <w:lang w:val="ro-RO"/>
        </w:rPr>
        <w:t>.</w:t>
      </w:r>
    </w:p>
    <w:p w14:paraId="20BB9B56">
      <w:pPr>
        <w:ind w:firstLine="360"/>
        <w:rPr>
          <w:rFonts w:eastAsia="Verdana" w:cs="Arial"/>
          <w:sz w:val="22"/>
          <w:lang w:val="ro-RO"/>
        </w:rPr>
      </w:pPr>
      <w:r>
        <w:rPr>
          <w:rFonts w:eastAsia="Verdana" w:cs="Arial"/>
          <w:sz w:val="22"/>
          <w:lang w:val="ro-RO"/>
        </w:rPr>
        <w:t>Dealurile Coșuștei aparțin de Piemontul Motrului care este localizat în partea de Nord-Vest a Piemontului Getic. Dealurile sunt caracterizate de suprafețe orizontale sau înclinate, iar relieful lor este fragmentat de afluenți ai râului Motru. Această subunitate de relief se întâlnește și pe teritoriul comunei Șimian, la intersecția cu depresiunea Severinului. Alte dealuri întâlnim în partea de nord a comunei, dealul Curila, respectiv dealul Gârdanului care intersectează zona de nord-est a satului Cerneți. De asemenea, Dealurile Orgulova și Marmanului sunt prezente în partea de Nord-Est și de Est a satului Valea Copcii. La vest de satul Poroina întâlnim Dealul Vulturul care are o înălțime de 305 m.</w:t>
      </w:r>
    </w:p>
    <w:p w14:paraId="5842EB30">
      <w:pPr>
        <w:ind w:firstLine="360"/>
        <w:rPr>
          <w:rFonts w:eastAsia="Verdana" w:cs="Arial"/>
          <w:sz w:val="22"/>
          <w:lang w:val="ro-RO"/>
        </w:rPr>
      </w:pPr>
      <w:r>
        <w:rPr>
          <w:rFonts w:eastAsia="Verdana" w:cs="Arial"/>
          <w:sz w:val="22"/>
          <w:lang w:val="ro-RO"/>
        </w:rPr>
        <w:t>Teritoriul administrativ al comunei Șimian are o suprafață totală de 6.031,61 ha, suprafață dispusă în felul următor:</w:t>
      </w:r>
    </w:p>
    <w:p w14:paraId="1A456C14">
      <w:pPr>
        <w:ind w:firstLine="0"/>
        <w:rPr>
          <w:rFonts w:eastAsia="Verdana" w:cs="Arial"/>
          <w:sz w:val="22"/>
          <w:lang w:val="ro-RO"/>
        </w:rPr>
      </w:pPr>
      <w:r>
        <w:rPr>
          <w:rFonts w:eastAsia="Verdana" w:cs="Arial"/>
          <w:sz w:val="22"/>
          <w:lang w:val="ro-RO"/>
        </w:rPr>
        <w:t>Suprafața agricolă</w:t>
      </w:r>
    </w:p>
    <w:p w14:paraId="744FF45C">
      <w:pPr>
        <w:numPr>
          <w:ilvl w:val="0"/>
          <w:numId w:val="7"/>
        </w:numPr>
        <w:ind w:left="0" w:firstLine="0"/>
        <w:contextualSpacing/>
        <w:rPr>
          <w:rFonts w:eastAsia="Verdana" w:cs="Arial"/>
          <w:sz w:val="22"/>
          <w:lang w:val="ro-RO"/>
        </w:rPr>
      </w:pPr>
      <w:r>
        <w:rPr>
          <w:rFonts w:eastAsia="Verdana" w:cs="Arial"/>
          <w:sz w:val="22"/>
          <w:lang w:val="ro-RO"/>
        </w:rPr>
        <w:t>teren arabil            2.125,15 ha</w:t>
      </w:r>
    </w:p>
    <w:p w14:paraId="3A5E56FF">
      <w:pPr>
        <w:numPr>
          <w:ilvl w:val="0"/>
          <w:numId w:val="7"/>
        </w:numPr>
        <w:ind w:left="0" w:firstLine="0"/>
        <w:contextualSpacing/>
        <w:rPr>
          <w:rFonts w:eastAsia="Verdana" w:cs="Arial"/>
          <w:sz w:val="22"/>
          <w:lang w:val="ro-RO"/>
        </w:rPr>
      </w:pPr>
      <w:r>
        <w:rPr>
          <w:rFonts w:eastAsia="Verdana" w:cs="Arial"/>
          <w:sz w:val="22"/>
          <w:lang w:val="ro-RO"/>
        </w:rPr>
        <w:t>pășuni                    1.082,60 ha</w:t>
      </w:r>
    </w:p>
    <w:p w14:paraId="503C4BED">
      <w:pPr>
        <w:numPr>
          <w:ilvl w:val="0"/>
          <w:numId w:val="7"/>
        </w:numPr>
        <w:ind w:left="0" w:firstLine="0"/>
        <w:contextualSpacing/>
        <w:rPr>
          <w:rFonts w:eastAsia="Verdana" w:cs="Arial"/>
          <w:sz w:val="22"/>
          <w:lang w:val="ro-RO"/>
        </w:rPr>
      </w:pPr>
      <w:r>
        <w:rPr>
          <w:rFonts w:eastAsia="Verdana" w:cs="Arial"/>
          <w:sz w:val="22"/>
          <w:lang w:val="ro-RO"/>
        </w:rPr>
        <w:t>fânețe                          14,0   ha</w:t>
      </w:r>
    </w:p>
    <w:p w14:paraId="3439B464">
      <w:pPr>
        <w:numPr>
          <w:ilvl w:val="0"/>
          <w:numId w:val="7"/>
        </w:numPr>
        <w:ind w:left="0" w:firstLine="0"/>
        <w:contextualSpacing/>
        <w:rPr>
          <w:rFonts w:eastAsia="Verdana" w:cs="Arial"/>
          <w:sz w:val="22"/>
          <w:lang w:val="ro-RO"/>
        </w:rPr>
      </w:pPr>
      <w:r>
        <w:rPr>
          <w:rFonts w:eastAsia="Verdana" w:cs="Arial"/>
          <w:sz w:val="22"/>
          <w:lang w:val="ro-RO"/>
        </w:rPr>
        <w:t>vii                               495,0 ha</w:t>
      </w:r>
    </w:p>
    <w:p w14:paraId="24CA2C62">
      <w:pPr>
        <w:ind w:firstLine="0"/>
        <w:rPr>
          <w:rFonts w:eastAsia="Verdana" w:cs="Arial"/>
          <w:sz w:val="22"/>
          <w:lang w:val="ro-RO"/>
        </w:rPr>
      </w:pPr>
      <w:r>
        <w:rPr>
          <w:rFonts w:eastAsia="Verdana" w:cs="Arial"/>
          <w:sz w:val="22"/>
          <w:lang w:val="ro-RO"/>
        </w:rPr>
        <w:t>Suprafața neagricolă</w:t>
      </w:r>
      <w:r>
        <w:rPr>
          <w:rFonts w:eastAsia="Verdana" w:cs="Arial"/>
          <w:sz w:val="22"/>
          <w:lang w:val="ro-RO"/>
        </w:rPr>
        <w:tab/>
      </w:r>
    </w:p>
    <w:p w14:paraId="7B156D16">
      <w:pPr>
        <w:numPr>
          <w:ilvl w:val="0"/>
          <w:numId w:val="7"/>
        </w:numPr>
        <w:ind w:left="0" w:firstLine="0"/>
        <w:contextualSpacing/>
        <w:rPr>
          <w:rFonts w:eastAsia="Verdana" w:cs="Arial"/>
          <w:sz w:val="22"/>
          <w:lang w:val="ro-RO"/>
        </w:rPr>
      </w:pPr>
      <w:r>
        <w:rPr>
          <w:rFonts w:eastAsia="Verdana" w:cs="Arial"/>
          <w:sz w:val="22"/>
          <w:lang w:val="ro-RO"/>
        </w:rPr>
        <w:t>păduri                      1.062,36 ha</w:t>
      </w:r>
    </w:p>
    <w:p w14:paraId="0006DBC2">
      <w:pPr>
        <w:numPr>
          <w:ilvl w:val="0"/>
          <w:numId w:val="7"/>
        </w:numPr>
        <w:ind w:left="0" w:firstLine="0"/>
        <w:contextualSpacing/>
        <w:rPr>
          <w:rFonts w:eastAsia="Verdana" w:cs="Arial"/>
          <w:sz w:val="22"/>
          <w:lang w:val="ro-RO"/>
        </w:rPr>
      </w:pPr>
      <w:r>
        <w:rPr>
          <w:rFonts w:eastAsia="Verdana" w:cs="Arial"/>
          <w:sz w:val="22"/>
          <w:lang w:val="ro-RO"/>
        </w:rPr>
        <w:t>ape                             275,0   ha</w:t>
      </w:r>
    </w:p>
    <w:p w14:paraId="22295135">
      <w:pPr>
        <w:numPr>
          <w:ilvl w:val="0"/>
          <w:numId w:val="7"/>
        </w:numPr>
        <w:ind w:left="0" w:firstLine="0"/>
        <w:contextualSpacing/>
        <w:rPr>
          <w:rFonts w:eastAsia="Verdana" w:cs="Arial"/>
          <w:sz w:val="22"/>
          <w:lang w:val="ro-RO"/>
        </w:rPr>
      </w:pPr>
      <w:r>
        <w:rPr>
          <w:rFonts w:eastAsia="Verdana" w:cs="Arial"/>
          <w:sz w:val="22"/>
          <w:lang w:val="ro-RO"/>
        </w:rPr>
        <w:t>curți-construcții          282,4   ha</w:t>
      </w:r>
    </w:p>
    <w:p w14:paraId="261D2CC8">
      <w:pPr>
        <w:numPr>
          <w:ilvl w:val="0"/>
          <w:numId w:val="7"/>
        </w:numPr>
        <w:ind w:left="0" w:firstLine="0"/>
        <w:contextualSpacing/>
        <w:rPr>
          <w:rFonts w:eastAsia="Verdana" w:cs="Arial"/>
          <w:sz w:val="22"/>
          <w:lang w:val="ro-RO"/>
        </w:rPr>
      </w:pPr>
      <w:r>
        <w:rPr>
          <w:rFonts w:eastAsia="Verdana" w:cs="Arial"/>
          <w:sz w:val="22"/>
          <w:lang w:val="ro-RO"/>
        </w:rPr>
        <w:t>neproductiv                505,0   ha</w:t>
      </w:r>
    </w:p>
    <w:p w14:paraId="254375C2">
      <w:pPr>
        <w:numPr>
          <w:ilvl w:val="0"/>
          <w:numId w:val="7"/>
        </w:numPr>
        <w:ind w:left="0" w:firstLine="0"/>
        <w:contextualSpacing/>
        <w:rPr>
          <w:rFonts w:eastAsia="Verdana" w:cs="Arial"/>
          <w:sz w:val="22"/>
          <w:lang w:val="ro-RO"/>
        </w:rPr>
      </w:pPr>
      <w:r>
        <w:rPr>
          <w:rFonts w:eastAsia="Verdana" w:cs="Arial"/>
          <w:sz w:val="22"/>
          <w:lang w:val="ro-RO"/>
        </w:rPr>
        <w:t>C</w:t>
      </w:r>
      <w:r>
        <w:rPr>
          <w:rFonts w:eastAsia="Verdana" w:cs="Arial"/>
          <w:spacing w:val="1"/>
          <w:sz w:val="22"/>
          <w:lang w:val="ro-RO"/>
        </w:rPr>
        <w:t>o</w:t>
      </w:r>
      <w:r>
        <w:rPr>
          <w:rFonts w:eastAsia="Verdana" w:cs="Arial"/>
          <w:spacing w:val="-1"/>
          <w:sz w:val="22"/>
          <w:lang w:val="ro-RO"/>
        </w:rPr>
        <w:t>n</w:t>
      </w:r>
      <w:r>
        <w:rPr>
          <w:rFonts w:eastAsia="Verdana" w:cs="Arial"/>
          <w:sz w:val="22"/>
          <w:lang w:val="ro-RO"/>
        </w:rPr>
        <w:t>s</w:t>
      </w:r>
      <w:r>
        <w:rPr>
          <w:rFonts w:eastAsia="Verdana" w:cs="Arial"/>
          <w:spacing w:val="-1"/>
          <w:sz w:val="22"/>
          <w:lang w:val="ro-RO"/>
        </w:rPr>
        <w:t>t</w:t>
      </w:r>
      <w:r>
        <w:rPr>
          <w:rFonts w:eastAsia="Verdana" w:cs="Arial"/>
          <w:spacing w:val="1"/>
          <w:sz w:val="22"/>
          <w:lang w:val="ro-RO"/>
        </w:rPr>
        <w:t>r</w:t>
      </w:r>
      <w:r>
        <w:rPr>
          <w:rFonts w:eastAsia="Verdana" w:cs="Arial"/>
          <w:spacing w:val="-1"/>
          <w:sz w:val="22"/>
          <w:lang w:val="ro-RO"/>
        </w:rPr>
        <w:t>u</w:t>
      </w:r>
      <w:r>
        <w:rPr>
          <w:rFonts w:eastAsia="Verdana" w:cs="Arial"/>
          <w:sz w:val="22"/>
          <w:lang w:val="ro-RO"/>
        </w:rPr>
        <w:t>cţ</w:t>
      </w:r>
      <w:r>
        <w:rPr>
          <w:rFonts w:eastAsia="Verdana" w:cs="Arial"/>
          <w:spacing w:val="1"/>
          <w:sz w:val="22"/>
          <w:lang w:val="ro-RO"/>
        </w:rPr>
        <w:t>i</w:t>
      </w:r>
      <w:r>
        <w:rPr>
          <w:rFonts w:eastAsia="Verdana" w:cs="Arial"/>
          <w:sz w:val="22"/>
          <w:lang w:val="ro-RO"/>
        </w:rPr>
        <w:t xml:space="preserve">i: </w:t>
      </w:r>
      <w:r>
        <w:rPr>
          <w:rFonts w:eastAsia="Verdana" w:cs="Arial"/>
          <w:spacing w:val="-1"/>
          <w:sz w:val="22"/>
          <w:lang w:val="ro-RO"/>
        </w:rPr>
        <w:t>95 h</w:t>
      </w:r>
      <w:r>
        <w:rPr>
          <w:rFonts w:eastAsia="Verdana" w:cs="Arial"/>
          <w:spacing w:val="2"/>
          <w:sz w:val="22"/>
          <w:lang w:val="ro-RO"/>
        </w:rPr>
        <w:t>a</w:t>
      </w:r>
      <w:r>
        <w:rPr>
          <w:rFonts w:eastAsia="Verdana" w:cs="Arial"/>
          <w:sz w:val="22"/>
          <w:lang w:val="ro-RO"/>
        </w:rPr>
        <w:t>.</w:t>
      </w:r>
    </w:p>
    <w:p w14:paraId="0C4EF2A1">
      <w:pPr>
        <w:ind w:firstLine="0"/>
        <w:rPr>
          <w:rFonts w:cs="Arial"/>
          <w:bCs/>
          <w:sz w:val="22"/>
          <w:lang w:val="ro-RO"/>
          <w14:shadow w14:blurRad="114300" w14:dist="0" w14:dir="0" w14:sx="0" w14:sy="0" w14:kx="0" w14:ky="0" w14:algn="none">
            <w14:srgbClr w14:val="000000"/>
          </w14:shadow>
          <w14:props3d w14:extrusionH="57150" w14:contourW="0" w14:prstMaterial="matte">
            <w14:bevelT w14:w="63500" w14:h="12700" w14:prst="angle"/>
            <w14:contourClr>
              <w14:schemeClr w14:val="bg1">
                <w14:lumMod w14:val="65000"/>
              </w14:schemeClr>
            </w14:contourClr>
          </w14:props3d>
        </w:rPr>
      </w:pPr>
    </w:p>
    <w:p w14:paraId="61FD911B">
      <w:pPr>
        <w:pStyle w:val="3"/>
        <w:numPr>
          <w:ilvl w:val="1"/>
          <w:numId w:val="3"/>
        </w:numPr>
        <w:rPr>
          <w:rFonts w:cs="Arial"/>
          <w:sz w:val="22"/>
          <w:szCs w:val="22"/>
          <w:lang w:val="ro-RO"/>
        </w:rPr>
      </w:pPr>
      <w:bookmarkStart w:id="18" w:name="_Toc201926303"/>
      <w:r>
        <w:rPr>
          <w:rFonts w:cs="Arial"/>
          <w:sz w:val="22"/>
          <w:szCs w:val="22"/>
          <w:lang w:val="ro-RO"/>
        </w:rPr>
        <w:t>Repere istorice</w:t>
      </w:r>
      <w:bookmarkEnd w:id="18"/>
      <w:r>
        <w:rPr>
          <w:rFonts w:cs="Arial"/>
          <w:sz w:val="22"/>
          <w:szCs w:val="22"/>
          <w:lang w:val="ro-RO"/>
        </w:rPr>
        <w:t xml:space="preserve"> </w:t>
      </w:r>
    </w:p>
    <w:p w14:paraId="1ECDC1AC">
      <w:pPr>
        <w:rPr>
          <w:rFonts w:cs="Arial"/>
          <w:sz w:val="22"/>
          <w:lang w:val="ro-RO"/>
        </w:rPr>
      </w:pPr>
      <w:bookmarkStart w:id="19" w:name="OLE_LINK15"/>
      <w:r>
        <w:rPr>
          <w:rFonts w:cs="Arial"/>
          <w:sz w:val="22"/>
          <w:lang w:val="ro-RO"/>
        </w:rPr>
        <w:t>Descoperirile  arheologice atestă viața organizată pe aceste meleaguri înca din epoci preistorice. Cele mai evidente urme provin din vetrele așezărilor de pe țărmul Dunării, semn că fluviul era ospitalier și fertilizator pentru condiții de existentă. La Schela Cladovei, cartier de vest al Severinului, s-a descoperit cel mai vechi Homo Sapiens din Europa, în vârstă de 8000 de ani, un schelet de barbat lung de 2m, cu un craniu străpuns de o săgeata. Alte descoperiri senzaționale, datate în anii 12.000 – 7000 sunt  cele din Defileul Dunării ( la Cazane) , Insula Șimian, Insula Banului, Ostrovul Mare, Ostrovul Corbului.</w:t>
      </w:r>
    </w:p>
    <w:p w14:paraId="568BA9C4">
      <w:pPr>
        <w:rPr>
          <w:rFonts w:cs="Arial"/>
          <w:sz w:val="22"/>
          <w:lang w:val="ro-RO"/>
        </w:rPr>
      </w:pPr>
      <w:r>
        <w:rPr>
          <w:rFonts w:cs="Arial"/>
          <w:sz w:val="22"/>
          <w:lang w:val="ro-RO"/>
        </w:rPr>
        <w:t>Descoperirea unor vetre umane în diverse zone ale județului, majoritatea construite peste sau pe lângă altele anterioare, constituie semn al civilizației succesive, în ruinele acestor așezări găsindu-se obiecte care atestă îndeletniciri de continuitate autonomă.</w:t>
      </w:r>
    </w:p>
    <w:p w14:paraId="46FCAC94">
      <w:pPr>
        <w:rPr>
          <w:rFonts w:cs="Arial"/>
          <w:sz w:val="22"/>
          <w:lang w:val="ro-RO"/>
        </w:rPr>
      </w:pPr>
      <w:r>
        <w:rPr>
          <w:rFonts w:cs="Arial"/>
          <w:sz w:val="22"/>
          <w:lang w:val="ro-RO"/>
        </w:rPr>
        <w:t xml:space="preserve">      Cercetările arheologice din zone ale județului Mehedinți formează obiectul următoarelor culturi, cronologic: Cultura Schela Cladovei, Cultura Cris, Cultura Turdas-Vincea, Cultura Salcuta, Cultura Garla Mare „câmpurile cu urne”.</w:t>
      </w:r>
    </w:p>
    <w:p w14:paraId="66758494">
      <w:pPr>
        <w:rPr>
          <w:rFonts w:cs="Arial"/>
          <w:sz w:val="22"/>
          <w:lang w:val="ro-RO"/>
        </w:rPr>
      </w:pPr>
      <w:r>
        <w:rPr>
          <w:rFonts w:cs="Arial"/>
          <w:sz w:val="22"/>
          <w:lang w:val="ro-RO"/>
        </w:rPr>
        <w:t>Un capitol sensibil  îl constituie romanizarea predilectă a Olteniei de vest și conjuncturile de continuitate a romanitatii dupa retragerea aureliană. Numai în Mehedinți se află 10 castre romane construite în diferite perioade, până în timpul lui Constantin cel Mare ( 306-337 ) care a încercat o restabilire a imperiului până dincoace de Dunare. Drobeta a fost refacută mereu până spre sfârșitul domniei lui Justinian (565), drobetanii păstrand un cult pentru împărații romani protectori.</w:t>
      </w:r>
    </w:p>
    <w:p w14:paraId="456C014D">
      <w:pPr>
        <w:rPr>
          <w:rFonts w:cs="Arial"/>
          <w:sz w:val="22"/>
          <w:lang w:val="ro-RO"/>
        </w:rPr>
      </w:pPr>
      <w:r>
        <w:rPr>
          <w:rFonts w:cs="Arial"/>
          <w:sz w:val="22"/>
          <w:lang w:val="ro-RO"/>
        </w:rPr>
        <w:t xml:space="preserve">     Evul mediu a găsit Mehedințiul mai retras de la drumul mare și mai putin amestecat cu populatiile răsăritene ce au stagnat în teritoriile Daciei, mai evidente urmând să fie influențele din vest, când Țara Severinului s-a aflat sub protecția regatului ungar.</w:t>
      </w:r>
    </w:p>
    <w:p w14:paraId="5B7AB126">
      <w:pPr>
        <w:rPr>
          <w:rFonts w:cs="Arial"/>
          <w:sz w:val="22"/>
          <w:lang w:val="ro-RO"/>
        </w:rPr>
      </w:pPr>
      <w:r>
        <w:rPr>
          <w:rFonts w:cs="Arial"/>
          <w:sz w:val="22"/>
          <w:lang w:val="ro-RO"/>
        </w:rPr>
        <w:t xml:space="preserve">   După căderea Constantinopolului în anul 1453, atacurile asupra cetăților dunărene s-au întețit, Bănia mutându-se la Strehaia, ulterior la Craiova, iar populatia Severinului migrând către Cerneți, sat la 6 km spre nord, ce va deveni capitala districtului Mehedinți.   </w:t>
      </w:r>
    </w:p>
    <w:p w14:paraId="0CEAF844">
      <w:pPr>
        <w:rPr>
          <w:rFonts w:cs="Arial"/>
          <w:sz w:val="22"/>
          <w:lang w:val="ro-RO"/>
        </w:rPr>
      </w:pPr>
      <w:r>
        <w:rPr>
          <w:rFonts w:cs="Arial"/>
          <w:sz w:val="22"/>
          <w:lang w:val="ro-RO"/>
        </w:rPr>
        <w:t xml:space="preserve">     În timpul războaielor cu turcii, Mehedințiul a fost pavază pentru apărarea Țării Românești. La Cerneți, reședința județului, domnitorii au organizat căpitania de margine cu rol strategic, iar în timpul lui Brâncoveanu se înaltaseră aici o biserică domnească și un conac domnesc. Județ de granită, Mehedințiul a învatat să se apere și pe timp de pace, deseori fiind amenințat de cete turcești prădătoare de peste Dunare. Semn de civilizație a fost aici din vremuri îndelungate. astfel putem aminti: la Vodita a fost înalțată în 1370 prima mănăstire din Țara Românească, la Severin-prima mitropolie din Oltenia ( după 1400 a fost mutată la Vâlcea), la Strehaia-episcopie și mănăstire, la Gura Motrului-mănăstire. La Cerneți a fost înființată prima școală în 1805, prin 1840 funcționau aici 4 școli două românești, una grecească și una germană.</w:t>
      </w:r>
    </w:p>
    <w:p w14:paraId="2D430D0A">
      <w:pPr>
        <w:rPr>
          <w:rFonts w:cs="Arial"/>
          <w:sz w:val="22"/>
          <w:lang w:val="ro-RO"/>
        </w:rPr>
      </w:pPr>
      <w:r>
        <w:rPr>
          <w:rFonts w:cs="Arial"/>
          <w:sz w:val="22"/>
          <w:lang w:val="ro-RO"/>
        </w:rPr>
        <w:t>După distrugerea Cetății Severinului, dându-I numele emblematic de doliu Cerneți (cerniți) severinenii au fondat o altă așezare mai ferită de incursiunile turcești la aproximativ 6 km spre nord-est față de vechea cetate arsă.</w:t>
      </w:r>
    </w:p>
    <w:p w14:paraId="0058054A">
      <w:pPr>
        <w:rPr>
          <w:rFonts w:cs="Arial"/>
          <w:sz w:val="22"/>
          <w:lang w:val="ro-RO"/>
        </w:rPr>
      </w:pPr>
      <w:r>
        <w:rPr>
          <w:rFonts w:cs="Arial"/>
          <w:sz w:val="22"/>
          <w:lang w:val="ro-RO"/>
        </w:rPr>
        <w:t xml:space="preserve">Până la reconstrucția modernă a Severinului, Cernețiul, care la 1602 era o moșie a fraților Buzești, va fi capitala administrativa și comercială a regiunii Mehedințiului, fiind folosită deopotrivă de ruși și de austrieci. </w:t>
      </w:r>
    </w:p>
    <w:p w14:paraId="4BCF9464">
      <w:pPr>
        <w:rPr>
          <w:rFonts w:cs="Arial"/>
          <w:sz w:val="22"/>
          <w:lang w:val="ro-RO"/>
        </w:rPr>
      </w:pPr>
      <w:r>
        <w:rPr>
          <w:rFonts w:cs="Arial"/>
          <w:sz w:val="22"/>
          <w:lang w:val="ro-RO"/>
        </w:rPr>
        <w:t>La Cerneți era Căpitănia și Vama. La 1824, când izbucnește războiul dintre ruși și turci, Cernețiul este incendiat. Turcii fiind învinși, prin pacea de la Adrianopol (1829), se pregătește și terenul fondării noului Severin odată cu libertatea comerțului și navigației pe Dunăre. Fluviul devine o arteră de circulație de importanță europeană.</w:t>
      </w:r>
    </w:p>
    <w:p w14:paraId="757C961F">
      <w:pPr>
        <w:rPr>
          <w:rFonts w:cs="Arial"/>
          <w:sz w:val="22"/>
          <w:lang w:val="ro-RO"/>
        </w:rPr>
      </w:pPr>
      <w:r>
        <w:rPr>
          <w:rFonts w:cs="Arial"/>
          <w:sz w:val="22"/>
          <w:lang w:val="ro-RO"/>
        </w:rPr>
        <w:t>După stăpânirea Olteniei (1718-1741) când avuseseră deja intenția să zidească pe același loc al Severinului de astăzi orașul Carolina. Austriecii erau din nou prezenți în zonă încă din 1829 (tratatul de la Adrianopol), construind deja in dreptul viitorului oraș, portul, unde se afla și sediul renumitei Societăți Austriece de Navigație cu Aburi pe Dunăre fondată în 1829 (Donaudampfschiffahrtsgesellschaft – DDSG) și în 1850. Șantierul naval necesar întreținerii vapoarelor confruntate cu străbaterea dificilă a cataractelor și stâncilor din defileul Porțile de Fier.</w:t>
      </w:r>
    </w:p>
    <w:p w14:paraId="47980AAA">
      <w:pPr>
        <w:rPr>
          <w:rFonts w:cs="Arial"/>
          <w:sz w:val="22"/>
          <w:lang w:val="ro-RO"/>
        </w:rPr>
      </w:pPr>
      <w:r>
        <w:rPr>
          <w:rFonts w:cs="Arial"/>
          <w:sz w:val="22"/>
          <w:lang w:val="ro-RO"/>
        </w:rPr>
        <w:t>Cu ocazia prezenței generalului Pavel Kiseleff în regiune, în primăvara anului 1833, locuitorii Cernețiului i-au cerut strămutarea localității lor în ”Câmpia Severinului”, zonă ce corespunde prașului actual astfel încât 23 aprilie 1833 este data oficială a întemeierii orașului Turnu-Severin, când domnitorul Alexandru Dimitrie Ghica emite actul înființării orașului. Teritoriul pe care este așezat astăzi orașul a fost o câmpie cu pâlcuri de stejari, din care s-a păstrat o mică suprafață, de numai 12 ha, în partea de nord, actuala pădure Crihala. Prima clădire construită în noul oraș aparținea colonelului Ion Solomon, fost comandant al oștirii lăsată de Tudor Vladimirescu în Oltenia.</w:t>
      </w:r>
    </w:p>
    <w:p w14:paraId="2EDDE8B6">
      <w:pPr>
        <w:rPr>
          <w:rFonts w:cs="Arial"/>
          <w:sz w:val="22"/>
          <w:lang w:val="ro-RO"/>
        </w:rPr>
      </w:pPr>
      <w:r>
        <w:rPr>
          <w:rFonts w:cs="Arial"/>
          <w:sz w:val="22"/>
          <w:lang w:val="ro-RO"/>
        </w:rPr>
        <w:t>Casa se află pe ”Ulița Dunării” (azi B-dul Carol I,unde se află întreprinderea Electrocentrale ”Porțile de Fier”). A doua construcție a noului oraș a fost Carantina, pentru controlul sanitar de graniță, (azi Casa Armatei), concepută după planul arhitectului Fisser și terminată în 1839 de către ing. Popovici, care în prezent este Clubul Garnizoanei.</w:t>
      </w:r>
    </w:p>
    <w:p w14:paraId="12355680">
      <w:pPr>
        <w:rPr>
          <w:rFonts w:cs="Arial"/>
          <w:sz w:val="22"/>
          <w:lang w:val="ro-RO"/>
        </w:rPr>
      </w:pPr>
      <w:r>
        <w:rPr>
          <w:rFonts w:cs="Arial"/>
          <w:sz w:val="22"/>
          <w:lang w:val="ro-RO"/>
        </w:rPr>
        <w:t>Planul inițial al orașului a fost gândit de către arhitectul Xavier Villacrosse, fiind secundat de inginerul Moritz von Ott, prin grija domnitorului din acele vremuri, Barbu Știrbri (1849-1856).</w:t>
      </w:r>
    </w:p>
    <w:p w14:paraId="234431D0">
      <w:pPr>
        <w:rPr>
          <w:rFonts w:cs="Arial"/>
          <w:sz w:val="22"/>
          <w:lang w:val="ro-RO"/>
        </w:rPr>
      </w:pPr>
      <w:r>
        <w:rPr>
          <w:rFonts w:cs="Arial"/>
          <w:sz w:val="22"/>
          <w:lang w:val="ro-RO"/>
        </w:rPr>
        <w:t xml:space="preserve">Cum însă locuitorii Cernețiului nu se prea grăbeau să se mute în noul oraș, refuzând să plătească dreptul la strămutare, la 25 iunie 1836, se acordă străinilor permisiunea de a-și cumpăra locuri și a se așeza în noua localitate. </w:t>
      </w:r>
    </w:p>
    <w:p w14:paraId="0A37ACB7">
      <w:pPr>
        <w:rPr>
          <w:rFonts w:cs="Arial"/>
          <w:sz w:val="22"/>
          <w:lang w:val="ro-RO"/>
        </w:rPr>
      </w:pPr>
      <w:r>
        <w:rPr>
          <w:rFonts w:cs="Arial"/>
          <w:sz w:val="22"/>
          <w:lang w:val="ro-RO"/>
        </w:rPr>
        <w:t xml:space="preserve">După o perioadă de ”rivalitate” de la înființarea noului oraș Turnu-Severin, din 1833 și până în 1855, Cernețiul agrar (a cărui industrie se baza îndeobște pe morărit, oierit și ateliere de tăbăcărie) decade definitiv. În anul 1841, capitala județului se mută de la Cerneți la Turnu-Severin. </w:t>
      </w:r>
    </w:p>
    <w:p w14:paraId="4FA2169C">
      <w:pPr>
        <w:rPr>
          <w:rFonts w:cs="Arial"/>
          <w:sz w:val="22"/>
          <w:lang w:val="ro-RO"/>
        </w:rPr>
      </w:pPr>
      <w:r>
        <w:rPr>
          <w:rFonts w:cs="Arial"/>
          <w:sz w:val="22"/>
          <w:lang w:val="ro-RO"/>
        </w:rPr>
        <w:t xml:space="preserve">Cu acest prilej se mută Prefectura, tribunalul și Poliția. Industria modernă, instalațiile portuare, șantierul naval dau avânt la o dezvoltare economică în regiune fără precedent.   </w:t>
      </w:r>
    </w:p>
    <w:bookmarkEnd w:id="19"/>
    <w:p w14:paraId="5FF36B3A">
      <w:pPr>
        <w:pStyle w:val="2"/>
        <w:rPr>
          <w:rFonts w:ascii="Arial" w:hAnsi="Arial" w:cs="Arial"/>
          <w:sz w:val="22"/>
          <w:szCs w:val="22"/>
          <w:lang w:val="ro-RO"/>
        </w:rPr>
      </w:pPr>
      <w:bookmarkStart w:id="20" w:name="_Toc201926304"/>
      <w:r>
        <w:rPr>
          <w:rFonts w:ascii="Arial" w:hAnsi="Arial" w:cs="Arial"/>
          <w:sz w:val="22"/>
          <w:szCs w:val="22"/>
          <w:lang w:val="ro-RO"/>
        </w:rPr>
        <w:t>CAPITOLUL 3</w:t>
      </w:r>
      <w:bookmarkEnd w:id="20"/>
    </w:p>
    <w:p w14:paraId="15E9C495">
      <w:pPr>
        <w:pStyle w:val="2"/>
        <w:rPr>
          <w:rFonts w:ascii="Arial" w:hAnsi="Arial" w:cs="Arial"/>
          <w:sz w:val="22"/>
          <w:szCs w:val="22"/>
          <w:lang w:val="ro-RO"/>
        </w:rPr>
      </w:pPr>
      <w:r>
        <w:rPr>
          <w:rFonts w:ascii="Arial" w:hAnsi="Arial" w:cs="Arial"/>
          <w:sz w:val="22"/>
          <w:szCs w:val="22"/>
          <w:lang w:val="ro-RO"/>
        </w:rPr>
        <w:t>ANALIZA SITUAȚIEI EXISTENTE, A NEVOILOR DE DEZVOLTARE ȘI A POTENȚIALULUI ZONEI, INCLUSIV A INTERCONEXIUNILOR ECONOMICE, SOCIALE ȘI DE MEDIU</w:t>
      </w:r>
    </w:p>
    <w:p w14:paraId="342B8CAF">
      <w:pPr>
        <w:pStyle w:val="3"/>
        <w:numPr>
          <w:ilvl w:val="1"/>
          <w:numId w:val="8"/>
        </w:numPr>
        <w:rPr>
          <w:rFonts w:cs="Arial"/>
          <w:sz w:val="22"/>
          <w:szCs w:val="22"/>
          <w:lang w:val="ro-RO"/>
        </w:rPr>
      </w:pPr>
      <w:bookmarkStart w:id="21" w:name="_Toc201926306"/>
      <w:r>
        <w:rPr>
          <w:rFonts w:cs="Arial"/>
          <w:sz w:val="22"/>
          <w:szCs w:val="22"/>
          <w:lang w:val="ro-RO"/>
        </w:rPr>
        <w:t>AGRICULTURĂ ŞI DEZVOLTARE RURALĂ</w:t>
      </w:r>
      <w:bookmarkEnd w:id="21"/>
    </w:p>
    <w:p w14:paraId="317B3E26">
      <w:pPr>
        <w:pStyle w:val="4"/>
        <w:numPr>
          <w:ilvl w:val="2"/>
          <w:numId w:val="8"/>
        </w:numPr>
        <w:rPr>
          <w:rFonts w:cs="Arial"/>
          <w:sz w:val="22"/>
          <w:szCs w:val="22"/>
          <w:lang w:val="ro-RO"/>
        </w:rPr>
      </w:pPr>
      <w:bookmarkStart w:id="22" w:name="_Toc201926307"/>
      <w:r>
        <w:rPr>
          <w:rFonts w:cs="Arial"/>
          <w:sz w:val="22"/>
          <w:szCs w:val="22"/>
          <w:lang w:val="ro-RO"/>
        </w:rPr>
        <w:t>Producţia vegetală</w:t>
      </w:r>
      <w:bookmarkEnd w:id="22"/>
    </w:p>
    <w:p w14:paraId="472B579B">
      <w:pPr>
        <w:rPr>
          <w:rFonts w:cs="Arial"/>
          <w:sz w:val="22"/>
          <w:lang w:val="ro-RO"/>
        </w:rPr>
      </w:pPr>
      <w:r>
        <w:rPr>
          <w:rFonts w:cs="Arial"/>
          <w:sz w:val="22"/>
          <w:lang w:val="ro-RO"/>
        </w:rPr>
        <w:t>Comuna Șimian este amplasată într-o zonă cu profil dominant agroindustrial, însă agricultura este principala activitate a locuitorilor, echiparea și infrastructura teritoriului contribuind și în viitor la dezvoltarea acestei activități.</w:t>
      </w:r>
    </w:p>
    <w:p w14:paraId="30F588AF">
      <w:pPr>
        <w:rPr>
          <w:rFonts w:cs="Arial"/>
          <w:sz w:val="22"/>
          <w:lang w:val="ro-RO"/>
        </w:rPr>
      </w:pPr>
      <w:r>
        <w:rPr>
          <w:rFonts w:cs="Arial"/>
          <w:sz w:val="22"/>
          <w:lang w:val="ro-RO"/>
        </w:rPr>
        <w:t>Activitatea agricolă, influențată și stimulată puternic de imediata apropiere a municipiului Drobeta Turnu Severin se bazează pe producții agricole, legumicole și pe creșterea animalelor în special în gospodăriile individuale și mai puțin în societăți cu profil zootehnic.</w:t>
      </w:r>
    </w:p>
    <w:p w14:paraId="67E71C8A">
      <w:pPr>
        <w:rPr>
          <w:rFonts w:cs="Arial" w:eastAsiaTheme="minorEastAsia"/>
          <w:sz w:val="22"/>
          <w:lang w:val="ro-RO"/>
        </w:rPr>
      </w:pPr>
      <w:r>
        <w:rPr>
          <w:rFonts w:cs="Arial" w:eastAsiaTheme="minorEastAsia"/>
          <w:sz w:val="22"/>
          <w:lang w:val="ro-RO"/>
        </w:rPr>
        <w:t xml:space="preserve">La nivelul Comunei Șimian, activităţile economice principale sunt agricultura şi creşterea animalelor. În 1996, suprafața agricolă a comunei era de 3569 hectare, din care 2307 hectare reprezentau terenurile arabile (64.65%). </w:t>
      </w:r>
    </w:p>
    <w:p w14:paraId="283ED012">
      <w:pPr>
        <w:rPr>
          <w:rFonts w:cs="Arial" w:eastAsiaTheme="minorEastAsia"/>
          <w:i/>
          <w:iCs/>
          <w:sz w:val="22"/>
          <w:lang w:val="ro-RO"/>
        </w:rPr>
      </w:pPr>
      <w:r>
        <w:rPr>
          <w:rFonts w:cs="Arial" w:eastAsiaTheme="minorEastAsia"/>
          <w:sz w:val="22"/>
          <w:lang w:val="ro-RO"/>
        </w:rPr>
        <w:t xml:space="preserve">Pe teritoriul comunei predomină culturile de grău și secară, urmând apoi cultura porumbului. Cerealele ocupă suprafețe mai mici, dar legumicultura este prezentă în toata comuna, prin intermediul grădinilor gospodăriilor individuale, dar și prin intermediul serelor și a solarilor. Producția mai mare este apoi transportată și vândută în municipiul Drobeta Turnu Severin. </w:t>
      </w:r>
    </w:p>
    <w:p w14:paraId="7CE529C9">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1</w:t>
      </w:r>
      <w:r>
        <w:rPr>
          <w:sz w:val="22"/>
          <w:szCs w:val="22"/>
        </w:rPr>
        <w:fldChar w:fldCharType="end"/>
      </w:r>
      <w:r>
        <w:rPr>
          <w:sz w:val="22"/>
          <w:szCs w:val="22"/>
        </w:rPr>
        <w:t>. Producția culturilor agricole din Șimian Sursa: date preluate și prelucrate după Bîrlă, Ani-Lavinia. Sistematizarea și dezvoltarea comunei Șimian. Drobeta-Turnu Severin. Profin, 2018</w:t>
      </w:r>
    </w:p>
    <w:tbl>
      <w:tblPr>
        <w:tblStyle w:val="12"/>
        <w:tblW w:w="89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2"/>
        <w:gridCol w:w="4540"/>
      </w:tblGrid>
      <w:tr w14:paraId="619D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4432" w:type="dxa"/>
            <w:shd w:val="clear" w:color="auto" w:fill="585858" w:themeFill="text1" w:themeFillTint="A6"/>
          </w:tcPr>
          <w:p w14:paraId="0207DFA8">
            <w:pPr>
              <w:spacing w:line="240"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 xml:space="preserve">Tip </w:t>
            </w:r>
          </w:p>
        </w:tc>
        <w:tc>
          <w:tcPr>
            <w:tcW w:w="4540" w:type="dxa"/>
            <w:shd w:val="clear" w:color="auto" w:fill="585858" w:themeFill="text1" w:themeFillTint="A6"/>
          </w:tcPr>
          <w:p w14:paraId="031BEE9A">
            <w:pPr>
              <w:spacing w:line="240"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Suprafețe cultivate (ha)</w:t>
            </w:r>
          </w:p>
        </w:tc>
      </w:tr>
      <w:tr w14:paraId="506A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432" w:type="dxa"/>
          </w:tcPr>
          <w:p w14:paraId="666476C2">
            <w:pPr>
              <w:spacing w:line="240" w:lineRule="auto"/>
              <w:ind w:firstLine="0"/>
              <w:jc w:val="center"/>
              <w:rPr>
                <w:rFonts w:cs="Arial" w:eastAsiaTheme="minorEastAsia"/>
                <w:sz w:val="22"/>
                <w:lang w:val="ro-RO"/>
              </w:rPr>
            </w:pPr>
            <w:r>
              <w:rPr>
                <w:rFonts w:cs="Arial" w:eastAsiaTheme="minorEastAsia"/>
                <w:sz w:val="22"/>
                <w:lang w:val="ro-RO"/>
              </w:rPr>
              <w:t>Grâu și secară</w:t>
            </w:r>
          </w:p>
        </w:tc>
        <w:tc>
          <w:tcPr>
            <w:tcW w:w="4540" w:type="dxa"/>
          </w:tcPr>
          <w:p w14:paraId="372CE571">
            <w:pPr>
              <w:spacing w:line="240" w:lineRule="auto"/>
              <w:ind w:firstLine="0"/>
              <w:jc w:val="center"/>
              <w:rPr>
                <w:rFonts w:cs="Arial" w:eastAsiaTheme="minorEastAsia"/>
                <w:sz w:val="22"/>
                <w:lang w:val="ro-RO"/>
              </w:rPr>
            </w:pPr>
            <w:r>
              <w:rPr>
                <w:rFonts w:cs="Arial" w:eastAsiaTheme="minorEastAsia"/>
                <w:sz w:val="22"/>
                <w:lang w:val="ro-RO"/>
              </w:rPr>
              <w:t>750</w:t>
            </w:r>
          </w:p>
        </w:tc>
      </w:tr>
      <w:tr w14:paraId="1B5C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432" w:type="dxa"/>
          </w:tcPr>
          <w:p w14:paraId="305DEFE5">
            <w:pPr>
              <w:spacing w:line="240" w:lineRule="auto"/>
              <w:ind w:firstLine="0"/>
              <w:jc w:val="center"/>
              <w:rPr>
                <w:rFonts w:cs="Arial" w:eastAsiaTheme="minorEastAsia"/>
                <w:bCs/>
                <w:iCs/>
                <w:sz w:val="22"/>
                <w:lang w:val="ro-RO"/>
              </w:rPr>
            </w:pPr>
            <w:r>
              <w:rPr>
                <w:rFonts w:cs="Arial" w:eastAsiaTheme="minorEastAsia"/>
                <w:bCs/>
                <w:iCs/>
                <w:sz w:val="22"/>
                <w:lang w:val="ro-RO"/>
              </w:rPr>
              <w:t>Porumb</w:t>
            </w:r>
          </w:p>
        </w:tc>
        <w:tc>
          <w:tcPr>
            <w:tcW w:w="4540" w:type="dxa"/>
          </w:tcPr>
          <w:p w14:paraId="1EC8E096">
            <w:pPr>
              <w:spacing w:line="240" w:lineRule="auto"/>
              <w:ind w:firstLine="0"/>
              <w:jc w:val="center"/>
              <w:rPr>
                <w:rFonts w:cs="Arial" w:eastAsiaTheme="minorEastAsia"/>
                <w:bCs/>
                <w:iCs/>
                <w:sz w:val="22"/>
                <w:lang w:val="ro-RO"/>
              </w:rPr>
            </w:pPr>
            <w:r>
              <w:rPr>
                <w:rFonts w:cs="Arial" w:eastAsiaTheme="minorEastAsia"/>
                <w:bCs/>
                <w:iCs/>
                <w:sz w:val="22"/>
                <w:lang w:val="ro-RO"/>
              </w:rPr>
              <w:t>838</w:t>
            </w:r>
          </w:p>
        </w:tc>
      </w:tr>
      <w:tr w14:paraId="78B6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432" w:type="dxa"/>
          </w:tcPr>
          <w:p w14:paraId="4B0F5A20">
            <w:pPr>
              <w:spacing w:line="240" w:lineRule="auto"/>
              <w:ind w:firstLine="0"/>
              <w:jc w:val="center"/>
              <w:rPr>
                <w:rFonts w:cs="Arial" w:eastAsiaTheme="minorEastAsia"/>
                <w:bCs/>
                <w:iCs/>
                <w:sz w:val="22"/>
                <w:highlight w:val="yellow"/>
                <w:lang w:val="ro-RO"/>
              </w:rPr>
            </w:pPr>
            <w:r>
              <w:rPr>
                <w:rFonts w:cs="Arial" w:eastAsiaTheme="minorEastAsia"/>
                <w:bCs/>
                <w:iCs/>
                <w:sz w:val="22"/>
                <w:lang w:val="ro-RO"/>
              </w:rPr>
              <w:t>Cereale</w:t>
            </w:r>
          </w:p>
        </w:tc>
        <w:tc>
          <w:tcPr>
            <w:tcW w:w="4540" w:type="dxa"/>
          </w:tcPr>
          <w:p w14:paraId="27015212">
            <w:pPr>
              <w:spacing w:line="240" w:lineRule="auto"/>
              <w:ind w:firstLine="0"/>
              <w:jc w:val="center"/>
              <w:rPr>
                <w:rFonts w:cs="Arial" w:eastAsiaTheme="minorEastAsia"/>
                <w:bCs/>
                <w:iCs/>
                <w:sz w:val="22"/>
                <w:highlight w:val="yellow"/>
                <w:lang w:val="ro-RO"/>
              </w:rPr>
            </w:pPr>
            <w:r>
              <w:rPr>
                <w:rFonts w:cs="Arial" w:eastAsiaTheme="minorEastAsia"/>
                <w:bCs/>
                <w:iCs/>
                <w:sz w:val="22"/>
                <w:lang w:val="ro-RO"/>
              </w:rPr>
              <w:t>-</w:t>
            </w:r>
          </w:p>
        </w:tc>
      </w:tr>
      <w:tr w14:paraId="77C3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432" w:type="dxa"/>
          </w:tcPr>
          <w:p w14:paraId="04704C2F">
            <w:pPr>
              <w:spacing w:line="240" w:lineRule="auto"/>
              <w:ind w:firstLine="0"/>
              <w:jc w:val="center"/>
              <w:rPr>
                <w:rFonts w:cs="Arial" w:eastAsiaTheme="minorEastAsia"/>
                <w:sz w:val="22"/>
                <w:lang w:val="ro-RO"/>
              </w:rPr>
            </w:pPr>
            <w:r>
              <w:rPr>
                <w:rFonts w:cs="Arial" w:eastAsiaTheme="minorEastAsia"/>
                <w:sz w:val="22"/>
                <w:lang w:val="ro-RO"/>
              </w:rPr>
              <w:t>Legume</w:t>
            </w:r>
          </w:p>
        </w:tc>
        <w:tc>
          <w:tcPr>
            <w:tcW w:w="4540" w:type="dxa"/>
          </w:tcPr>
          <w:p w14:paraId="63275A66">
            <w:pPr>
              <w:spacing w:line="240" w:lineRule="auto"/>
              <w:ind w:firstLine="0"/>
              <w:jc w:val="center"/>
              <w:rPr>
                <w:rFonts w:cs="Arial" w:eastAsiaTheme="minorEastAsia"/>
                <w:sz w:val="22"/>
                <w:lang w:val="ro-RO"/>
              </w:rPr>
            </w:pPr>
            <w:r>
              <w:rPr>
                <w:rFonts w:cs="Arial" w:eastAsiaTheme="minorEastAsia"/>
                <w:sz w:val="22"/>
                <w:lang w:val="ro-RO"/>
              </w:rPr>
              <w:t>-</w:t>
            </w:r>
          </w:p>
        </w:tc>
      </w:tr>
      <w:tr w14:paraId="2BC5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432" w:type="dxa"/>
          </w:tcPr>
          <w:p w14:paraId="313AEACD">
            <w:pPr>
              <w:spacing w:line="240" w:lineRule="auto"/>
              <w:ind w:firstLine="0"/>
              <w:jc w:val="center"/>
              <w:rPr>
                <w:rFonts w:cs="Arial" w:eastAsiaTheme="minorEastAsia"/>
                <w:sz w:val="22"/>
                <w:lang w:val="ro-RO"/>
              </w:rPr>
            </w:pPr>
            <w:r>
              <w:rPr>
                <w:rFonts w:cs="Arial" w:eastAsiaTheme="minorEastAsia"/>
                <w:sz w:val="22"/>
                <w:lang w:val="ro-RO"/>
              </w:rPr>
              <w:t>Floarea soarelui</w:t>
            </w:r>
          </w:p>
        </w:tc>
        <w:tc>
          <w:tcPr>
            <w:tcW w:w="4540" w:type="dxa"/>
          </w:tcPr>
          <w:p w14:paraId="3C4E8806">
            <w:pPr>
              <w:spacing w:line="240" w:lineRule="auto"/>
              <w:ind w:firstLine="0"/>
              <w:jc w:val="center"/>
              <w:rPr>
                <w:rFonts w:cs="Arial" w:eastAsiaTheme="minorEastAsia"/>
                <w:sz w:val="22"/>
                <w:lang w:val="ro-RO"/>
              </w:rPr>
            </w:pPr>
            <w:r>
              <w:rPr>
                <w:rFonts w:cs="Arial" w:eastAsiaTheme="minorEastAsia"/>
                <w:sz w:val="22"/>
                <w:lang w:val="ro-RO"/>
              </w:rPr>
              <w:t>3</w:t>
            </w:r>
          </w:p>
        </w:tc>
      </w:tr>
      <w:tr w14:paraId="6D1D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432" w:type="dxa"/>
          </w:tcPr>
          <w:p w14:paraId="459A399E">
            <w:pPr>
              <w:spacing w:line="240" w:lineRule="auto"/>
              <w:ind w:firstLine="0"/>
              <w:jc w:val="center"/>
              <w:rPr>
                <w:rFonts w:cs="Arial" w:eastAsiaTheme="minorEastAsia"/>
                <w:bCs/>
                <w:iCs/>
                <w:sz w:val="22"/>
                <w:lang w:val="ro-RO"/>
              </w:rPr>
            </w:pPr>
            <w:r>
              <w:rPr>
                <w:rFonts w:cs="Arial" w:eastAsiaTheme="minorEastAsia"/>
                <w:bCs/>
                <w:iCs/>
                <w:sz w:val="22"/>
                <w:lang w:val="ro-RO"/>
              </w:rPr>
              <w:t>Rapiță</w:t>
            </w:r>
          </w:p>
        </w:tc>
        <w:tc>
          <w:tcPr>
            <w:tcW w:w="4540" w:type="dxa"/>
          </w:tcPr>
          <w:p w14:paraId="48A13FE9">
            <w:pPr>
              <w:spacing w:line="240" w:lineRule="auto"/>
              <w:ind w:firstLine="0"/>
              <w:jc w:val="center"/>
              <w:rPr>
                <w:rFonts w:cs="Arial" w:eastAsiaTheme="minorEastAsia"/>
                <w:bCs/>
                <w:iCs/>
                <w:sz w:val="22"/>
                <w:lang w:val="ro-RO"/>
              </w:rPr>
            </w:pPr>
            <w:r>
              <w:rPr>
                <w:rFonts w:cs="Arial" w:eastAsiaTheme="minorEastAsia"/>
                <w:bCs/>
                <w:iCs/>
                <w:sz w:val="22"/>
                <w:lang w:val="ro-RO"/>
              </w:rPr>
              <w:t>1</w:t>
            </w:r>
          </w:p>
        </w:tc>
      </w:tr>
    </w:tbl>
    <w:p w14:paraId="0C1B2B0F">
      <w:pPr>
        <w:spacing w:after="200" w:line="276" w:lineRule="auto"/>
        <w:ind w:firstLine="0"/>
        <w:jc w:val="center"/>
        <w:rPr>
          <w:rFonts w:cs="Arial" w:eastAsiaTheme="minorEastAsia"/>
          <w:i/>
          <w:iCs/>
          <w:sz w:val="22"/>
          <w:lang w:val="ro-RO"/>
        </w:rPr>
      </w:pPr>
      <w:r>
        <w:rPr>
          <w:rFonts w:cs="Arial" w:eastAsiaTheme="minorEastAsia"/>
          <w:i/>
          <w:iCs/>
          <w:sz w:val="22"/>
          <w:lang w:val="ro-RO"/>
        </w:rPr>
        <w:t>Sursa: PUG, 2023</w:t>
      </w:r>
    </w:p>
    <w:p w14:paraId="1D45994C">
      <w:pPr>
        <w:rPr>
          <w:rFonts w:cs="Arial"/>
          <w:sz w:val="22"/>
          <w:lang w:val="ro-RO"/>
        </w:rPr>
      </w:pPr>
    </w:p>
    <w:p w14:paraId="57158D9D">
      <w:pPr>
        <w:pStyle w:val="4"/>
        <w:numPr>
          <w:ilvl w:val="2"/>
          <w:numId w:val="8"/>
        </w:numPr>
        <w:rPr>
          <w:rFonts w:cs="Arial"/>
          <w:sz w:val="22"/>
          <w:szCs w:val="22"/>
          <w:lang w:val="ro-RO"/>
        </w:rPr>
      </w:pPr>
      <w:bookmarkStart w:id="23" w:name="_Toc201926308"/>
      <w:r>
        <w:rPr>
          <w:rFonts w:cs="Arial"/>
          <w:sz w:val="22"/>
          <w:szCs w:val="22"/>
          <w:lang w:val="ro-RO"/>
        </w:rPr>
        <w:t>Zootehnia</w:t>
      </w:r>
      <w:bookmarkEnd w:id="23"/>
      <w:r>
        <w:rPr>
          <w:rFonts w:cs="Arial"/>
          <w:sz w:val="22"/>
          <w:szCs w:val="22"/>
          <w:lang w:val="ro-RO"/>
        </w:rPr>
        <w:t xml:space="preserve"> </w:t>
      </w:r>
    </w:p>
    <w:p w14:paraId="3FA8AC0A">
      <w:pPr>
        <w:rPr>
          <w:rFonts w:cs="Arial"/>
          <w:sz w:val="22"/>
          <w:lang w:val="ro-RO"/>
        </w:rPr>
      </w:pPr>
      <w:r>
        <w:rPr>
          <w:rFonts w:cs="Arial"/>
          <w:sz w:val="22"/>
          <w:lang w:val="ro-RO"/>
        </w:rPr>
        <w:t>Din punct de vedere al creșterii animalelor, aceasta rămâne o activitate de bază în comună, fiind cel de-al doilea sector al activității agricole. Predomină păsările și porcinele. Un factor important ce a contribuit la schimbarea distribuției animalelor a fost existența unităților agricole-industriale pe teritoriul comunei. Complexul avicol de la Șimian, dar și CAP-urile care au existat până în 1990 au dus la o creștere a efectivelor de animale.</w:t>
      </w:r>
    </w:p>
    <w:p w14:paraId="0BBC988A">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2</w:t>
      </w:r>
      <w:r>
        <w:rPr>
          <w:sz w:val="22"/>
          <w:szCs w:val="22"/>
        </w:rPr>
        <w:fldChar w:fldCharType="end"/>
      </w:r>
      <w:r>
        <w:rPr>
          <w:sz w:val="22"/>
          <w:szCs w:val="22"/>
        </w:rPr>
        <w:t>. Structura fondului funciar, Sursa: Bîrlă, Ani-Lavinia. Sistematizarea și dezvoltarea comunei Șimian. Drobeta-Turnu Severin. Profin, 2018</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171"/>
        <w:gridCol w:w="885"/>
        <w:gridCol w:w="885"/>
        <w:gridCol w:w="886"/>
        <w:gridCol w:w="886"/>
        <w:gridCol w:w="886"/>
        <w:gridCol w:w="886"/>
        <w:gridCol w:w="887"/>
        <w:gridCol w:w="887"/>
      </w:tblGrid>
      <w:tr w14:paraId="36A9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vMerge w:val="restart"/>
            <w:shd w:val="clear" w:color="auto" w:fill="585858" w:themeFill="text1" w:themeFillTint="A6"/>
          </w:tcPr>
          <w:p w14:paraId="381423FA">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An</w:t>
            </w:r>
          </w:p>
        </w:tc>
        <w:tc>
          <w:tcPr>
            <w:tcW w:w="1161" w:type="dxa"/>
            <w:vMerge w:val="restart"/>
            <w:shd w:val="clear" w:color="auto" w:fill="585858" w:themeFill="text1" w:themeFillTint="A6"/>
          </w:tcPr>
          <w:p w14:paraId="77B4F453">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Suprafața agricolă</w:t>
            </w:r>
          </w:p>
        </w:tc>
        <w:tc>
          <w:tcPr>
            <w:tcW w:w="1770" w:type="dxa"/>
            <w:gridSpan w:val="2"/>
            <w:shd w:val="clear" w:color="auto" w:fill="585858" w:themeFill="text1" w:themeFillTint="A6"/>
          </w:tcPr>
          <w:p w14:paraId="740E116E">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Teren arabil</w:t>
            </w:r>
          </w:p>
        </w:tc>
        <w:tc>
          <w:tcPr>
            <w:tcW w:w="1772" w:type="dxa"/>
            <w:gridSpan w:val="2"/>
            <w:shd w:val="clear" w:color="auto" w:fill="585858" w:themeFill="text1" w:themeFillTint="A6"/>
          </w:tcPr>
          <w:p w14:paraId="5ABF9DC6">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Pășuni și fânețe</w:t>
            </w:r>
          </w:p>
        </w:tc>
        <w:tc>
          <w:tcPr>
            <w:tcW w:w="1772" w:type="dxa"/>
            <w:gridSpan w:val="2"/>
            <w:shd w:val="clear" w:color="auto" w:fill="585858" w:themeFill="text1" w:themeFillTint="A6"/>
          </w:tcPr>
          <w:p w14:paraId="041495AB">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Vii</w:t>
            </w:r>
          </w:p>
        </w:tc>
        <w:tc>
          <w:tcPr>
            <w:tcW w:w="1774" w:type="dxa"/>
            <w:gridSpan w:val="2"/>
            <w:shd w:val="clear" w:color="auto" w:fill="585858" w:themeFill="text1" w:themeFillTint="A6"/>
          </w:tcPr>
          <w:p w14:paraId="24BE6158">
            <w:pPr>
              <w:spacing w:after="200" w:line="276" w:lineRule="auto"/>
              <w:ind w:firstLine="0"/>
              <w:jc w:val="center"/>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Livezi</w:t>
            </w:r>
          </w:p>
        </w:tc>
      </w:tr>
      <w:tr w14:paraId="79EF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vMerge w:val="continue"/>
          </w:tcPr>
          <w:p w14:paraId="11E9C01B">
            <w:pPr>
              <w:spacing w:after="200" w:line="276" w:lineRule="auto"/>
              <w:ind w:firstLine="0"/>
              <w:rPr>
                <w:rFonts w:cs="Arial" w:eastAsiaTheme="minorEastAsia"/>
                <w:sz w:val="22"/>
                <w:lang w:val="ro-RO"/>
              </w:rPr>
            </w:pPr>
          </w:p>
        </w:tc>
        <w:tc>
          <w:tcPr>
            <w:tcW w:w="1161" w:type="dxa"/>
            <w:vMerge w:val="continue"/>
          </w:tcPr>
          <w:p w14:paraId="4F7B867A">
            <w:pPr>
              <w:spacing w:after="200" w:line="276" w:lineRule="auto"/>
              <w:ind w:firstLine="0"/>
              <w:rPr>
                <w:rFonts w:cs="Arial" w:eastAsiaTheme="minorEastAsia"/>
                <w:sz w:val="22"/>
                <w:lang w:val="ro-RO"/>
              </w:rPr>
            </w:pPr>
          </w:p>
        </w:tc>
        <w:tc>
          <w:tcPr>
            <w:tcW w:w="885" w:type="dxa"/>
            <w:shd w:val="clear" w:color="auto" w:fill="7E7E7E" w:themeFill="text1" w:themeFillTint="80"/>
          </w:tcPr>
          <w:p w14:paraId="50E2D8C6">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ha</w:t>
            </w:r>
          </w:p>
        </w:tc>
        <w:tc>
          <w:tcPr>
            <w:tcW w:w="885" w:type="dxa"/>
            <w:shd w:val="clear" w:color="auto" w:fill="7E7E7E" w:themeFill="text1" w:themeFillTint="80"/>
          </w:tcPr>
          <w:p w14:paraId="29A317B2">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w:t>
            </w:r>
          </w:p>
        </w:tc>
        <w:tc>
          <w:tcPr>
            <w:tcW w:w="886" w:type="dxa"/>
            <w:shd w:val="clear" w:color="auto" w:fill="7E7E7E" w:themeFill="text1" w:themeFillTint="80"/>
          </w:tcPr>
          <w:p w14:paraId="70D0D37D">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ha</w:t>
            </w:r>
          </w:p>
        </w:tc>
        <w:tc>
          <w:tcPr>
            <w:tcW w:w="886" w:type="dxa"/>
            <w:shd w:val="clear" w:color="auto" w:fill="7E7E7E" w:themeFill="text1" w:themeFillTint="80"/>
          </w:tcPr>
          <w:p w14:paraId="164E5BB9">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w:t>
            </w:r>
          </w:p>
        </w:tc>
        <w:tc>
          <w:tcPr>
            <w:tcW w:w="886" w:type="dxa"/>
            <w:shd w:val="clear" w:color="auto" w:fill="7E7E7E" w:themeFill="text1" w:themeFillTint="80"/>
          </w:tcPr>
          <w:p w14:paraId="57217EAE">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ha</w:t>
            </w:r>
          </w:p>
        </w:tc>
        <w:tc>
          <w:tcPr>
            <w:tcW w:w="886" w:type="dxa"/>
            <w:shd w:val="clear" w:color="auto" w:fill="7E7E7E" w:themeFill="text1" w:themeFillTint="80"/>
          </w:tcPr>
          <w:p w14:paraId="3B05B513">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w:t>
            </w:r>
          </w:p>
        </w:tc>
        <w:tc>
          <w:tcPr>
            <w:tcW w:w="887" w:type="dxa"/>
            <w:shd w:val="clear" w:color="auto" w:fill="7E7E7E" w:themeFill="text1" w:themeFillTint="80"/>
          </w:tcPr>
          <w:p w14:paraId="650067E7">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ha</w:t>
            </w:r>
          </w:p>
        </w:tc>
        <w:tc>
          <w:tcPr>
            <w:tcW w:w="887" w:type="dxa"/>
            <w:shd w:val="clear" w:color="auto" w:fill="7E7E7E" w:themeFill="text1" w:themeFillTint="80"/>
          </w:tcPr>
          <w:p w14:paraId="5B9EE621">
            <w:pPr>
              <w:spacing w:after="200" w:line="276" w:lineRule="auto"/>
              <w:ind w:firstLine="0"/>
              <w:rPr>
                <w:rFonts w:cs="Arial" w:eastAsiaTheme="minorEastAsia"/>
                <w:color w:val="FFFFFF" w:themeColor="background1"/>
                <w:sz w:val="22"/>
                <w:lang w:val="ro-RO"/>
                <w14:textFill>
                  <w14:solidFill>
                    <w14:schemeClr w14:val="bg1"/>
                  </w14:solidFill>
                </w14:textFill>
              </w:rPr>
            </w:pPr>
            <w:r>
              <w:rPr>
                <w:rFonts w:cs="Arial" w:eastAsiaTheme="minorEastAsia"/>
                <w:color w:val="FFFFFF" w:themeColor="background1"/>
                <w:sz w:val="22"/>
                <w:lang w:val="ro-RO"/>
                <w14:textFill>
                  <w14:solidFill>
                    <w14:schemeClr w14:val="bg1"/>
                  </w14:solidFill>
                </w14:textFill>
              </w:rPr>
              <w:t>%</w:t>
            </w:r>
          </w:p>
        </w:tc>
      </w:tr>
      <w:tr w14:paraId="6F76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tcPr>
          <w:p w14:paraId="6E1C6E46">
            <w:pPr>
              <w:spacing w:after="200" w:line="276" w:lineRule="auto"/>
              <w:ind w:firstLine="0"/>
              <w:rPr>
                <w:rFonts w:cs="Arial" w:eastAsiaTheme="minorEastAsia"/>
                <w:sz w:val="22"/>
                <w:lang w:val="ro-RO"/>
              </w:rPr>
            </w:pPr>
            <w:r>
              <w:rPr>
                <w:rFonts w:cs="Arial" w:eastAsiaTheme="minorEastAsia"/>
                <w:sz w:val="22"/>
                <w:lang w:val="ro-RO"/>
              </w:rPr>
              <w:t>1996</w:t>
            </w:r>
          </w:p>
        </w:tc>
        <w:tc>
          <w:tcPr>
            <w:tcW w:w="1161" w:type="dxa"/>
          </w:tcPr>
          <w:p w14:paraId="53BF52AA">
            <w:pPr>
              <w:spacing w:after="200" w:line="276" w:lineRule="auto"/>
              <w:ind w:firstLine="0"/>
              <w:rPr>
                <w:rFonts w:cs="Arial" w:eastAsiaTheme="minorEastAsia"/>
                <w:sz w:val="22"/>
                <w:lang w:val="ro-RO"/>
              </w:rPr>
            </w:pPr>
            <w:r>
              <w:rPr>
                <w:rFonts w:cs="Arial" w:eastAsiaTheme="minorEastAsia"/>
                <w:sz w:val="22"/>
                <w:lang w:val="ro-RO"/>
              </w:rPr>
              <w:t>3569</w:t>
            </w:r>
          </w:p>
        </w:tc>
        <w:tc>
          <w:tcPr>
            <w:tcW w:w="885" w:type="dxa"/>
          </w:tcPr>
          <w:p w14:paraId="6DD31880">
            <w:pPr>
              <w:spacing w:after="200" w:line="276" w:lineRule="auto"/>
              <w:ind w:firstLine="0"/>
              <w:rPr>
                <w:rFonts w:cs="Arial" w:eastAsiaTheme="minorEastAsia"/>
                <w:sz w:val="22"/>
                <w:lang w:val="ro-RO"/>
              </w:rPr>
            </w:pPr>
            <w:r>
              <w:rPr>
                <w:rFonts w:cs="Arial" w:eastAsiaTheme="minorEastAsia"/>
                <w:sz w:val="22"/>
                <w:lang w:val="ro-RO"/>
              </w:rPr>
              <w:t>2307</w:t>
            </w:r>
          </w:p>
        </w:tc>
        <w:tc>
          <w:tcPr>
            <w:tcW w:w="885" w:type="dxa"/>
          </w:tcPr>
          <w:p w14:paraId="565FD10C">
            <w:pPr>
              <w:spacing w:after="200" w:line="276" w:lineRule="auto"/>
              <w:ind w:firstLine="0"/>
              <w:rPr>
                <w:rFonts w:cs="Arial" w:eastAsiaTheme="minorEastAsia"/>
                <w:sz w:val="22"/>
                <w:lang w:val="ro-RO"/>
              </w:rPr>
            </w:pPr>
            <w:r>
              <w:rPr>
                <w:rFonts w:cs="Arial" w:eastAsiaTheme="minorEastAsia"/>
                <w:sz w:val="22"/>
                <w:lang w:val="ro-RO"/>
              </w:rPr>
              <w:t>64.65</w:t>
            </w:r>
          </w:p>
        </w:tc>
        <w:tc>
          <w:tcPr>
            <w:tcW w:w="886" w:type="dxa"/>
          </w:tcPr>
          <w:p w14:paraId="34E39E97">
            <w:pPr>
              <w:spacing w:after="200" w:line="276" w:lineRule="auto"/>
              <w:ind w:firstLine="0"/>
              <w:rPr>
                <w:rFonts w:cs="Arial" w:eastAsiaTheme="minorEastAsia"/>
                <w:sz w:val="22"/>
                <w:lang w:val="ro-RO"/>
              </w:rPr>
            </w:pPr>
            <w:r>
              <w:rPr>
                <w:rFonts w:cs="Arial" w:eastAsiaTheme="minorEastAsia"/>
                <w:sz w:val="22"/>
                <w:lang w:val="ro-RO"/>
              </w:rPr>
              <w:t>765</w:t>
            </w:r>
          </w:p>
        </w:tc>
        <w:tc>
          <w:tcPr>
            <w:tcW w:w="886" w:type="dxa"/>
          </w:tcPr>
          <w:p w14:paraId="1B47C98B">
            <w:pPr>
              <w:spacing w:after="200" w:line="276" w:lineRule="auto"/>
              <w:ind w:firstLine="0"/>
              <w:rPr>
                <w:rFonts w:cs="Arial" w:eastAsiaTheme="minorEastAsia"/>
                <w:sz w:val="22"/>
                <w:lang w:val="ro-RO"/>
              </w:rPr>
            </w:pPr>
            <w:r>
              <w:rPr>
                <w:rFonts w:cs="Arial" w:eastAsiaTheme="minorEastAsia"/>
                <w:sz w:val="22"/>
                <w:lang w:val="ro-RO"/>
              </w:rPr>
              <w:t>21.45</w:t>
            </w:r>
          </w:p>
        </w:tc>
        <w:tc>
          <w:tcPr>
            <w:tcW w:w="886" w:type="dxa"/>
          </w:tcPr>
          <w:p w14:paraId="2C0BA64D">
            <w:pPr>
              <w:spacing w:after="200" w:line="276" w:lineRule="auto"/>
              <w:ind w:firstLine="0"/>
              <w:rPr>
                <w:rFonts w:cs="Arial" w:eastAsiaTheme="minorEastAsia"/>
                <w:sz w:val="22"/>
                <w:lang w:val="ro-RO"/>
              </w:rPr>
            </w:pPr>
            <w:r>
              <w:rPr>
                <w:rFonts w:cs="Arial" w:eastAsiaTheme="minorEastAsia"/>
                <w:sz w:val="22"/>
                <w:lang w:val="ro-RO"/>
              </w:rPr>
              <w:t>495</w:t>
            </w:r>
          </w:p>
        </w:tc>
        <w:tc>
          <w:tcPr>
            <w:tcW w:w="886" w:type="dxa"/>
          </w:tcPr>
          <w:p w14:paraId="55F7926A">
            <w:pPr>
              <w:spacing w:after="200" w:line="276" w:lineRule="auto"/>
              <w:ind w:firstLine="0"/>
              <w:rPr>
                <w:rFonts w:cs="Arial" w:eastAsiaTheme="minorEastAsia"/>
                <w:sz w:val="22"/>
                <w:lang w:val="ro-RO"/>
              </w:rPr>
            </w:pPr>
            <w:r>
              <w:rPr>
                <w:rFonts w:cs="Arial" w:eastAsiaTheme="minorEastAsia"/>
                <w:sz w:val="22"/>
                <w:lang w:val="ro-RO"/>
              </w:rPr>
              <w:t>13.8</w:t>
            </w:r>
          </w:p>
        </w:tc>
        <w:tc>
          <w:tcPr>
            <w:tcW w:w="887" w:type="dxa"/>
          </w:tcPr>
          <w:p w14:paraId="15B8E06D">
            <w:pPr>
              <w:spacing w:after="200" w:line="276" w:lineRule="auto"/>
              <w:ind w:firstLine="0"/>
              <w:rPr>
                <w:rFonts w:cs="Arial" w:eastAsiaTheme="minorEastAsia"/>
                <w:sz w:val="22"/>
                <w:lang w:val="ro-RO"/>
              </w:rPr>
            </w:pPr>
            <w:r>
              <w:rPr>
                <w:rFonts w:cs="Arial" w:eastAsiaTheme="minorEastAsia"/>
                <w:sz w:val="22"/>
                <w:lang w:val="ro-RO"/>
              </w:rPr>
              <w:t>2</w:t>
            </w:r>
          </w:p>
        </w:tc>
        <w:tc>
          <w:tcPr>
            <w:tcW w:w="887" w:type="dxa"/>
          </w:tcPr>
          <w:p w14:paraId="708668FF">
            <w:pPr>
              <w:spacing w:after="200" w:line="276" w:lineRule="auto"/>
              <w:ind w:firstLine="0"/>
              <w:rPr>
                <w:rFonts w:cs="Arial" w:eastAsiaTheme="minorEastAsia"/>
                <w:sz w:val="22"/>
                <w:lang w:val="ro-RO"/>
              </w:rPr>
            </w:pPr>
            <w:r>
              <w:rPr>
                <w:rFonts w:cs="Arial" w:eastAsiaTheme="minorEastAsia"/>
                <w:sz w:val="22"/>
                <w:lang w:val="ro-RO"/>
              </w:rPr>
              <w:t>0.05</w:t>
            </w:r>
          </w:p>
        </w:tc>
      </w:tr>
      <w:tr w14:paraId="5B77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tcPr>
          <w:p w14:paraId="40D6A9FA">
            <w:pPr>
              <w:spacing w:after="200" w:line="276" w:lineRule="auto"/>
              <w:ind w:firstLine="0"/>
              <w:rPr>
                <w:rFonts w:cs="Arial" w:eastAsiaTheme="minorEastAsia"/>
                <w:sz w:val="22"/>
                <w:lang w:val="ro-RO"/>
              </w:rPr>
            </w:pPr>
            <w:r>
              <w:rPr>
                <w:rFonts w:cs="Arial" w:eastAsiaTheme="minorEastAsia"/>
                <w:sz w:val="22"/>
                <w:lang w:val="ro-RO"/>
              </w:rPr>
              <w:t>2000</w:t>
            </w:r>
          </w:p>
        </w:tc>
        <w:tc>
          <w:tcPr>
            <w:tcW w:w="1161" w:type="dxa"/>
          </w:tcPr>
          <w:p w14:paraId="0643B0B8">
            <w:pPr>
              <w:spacing w:after="200" w:line="276" w:lineRule="auto"/>
              <w:ind w:firstLine="0"/>
              <w:rPr>
                <w:rFonts w:cs="Arial" w:eastAsiaTheme="minorEastAsia"/>
                <w:sz w:val="22"/>
                <w:lang w:val="ro-RO"/>
              </w:rPr>
            </w:pPr>
            <w:r>
              <w:rPr>
                <w:rFonts w:cs="Arial" w:eastAsiaTheme="minorEastAsia"/>
                <w:sz w:val="22"/>
                <w:lang w:val="ro-RO"/>
              </w:rPr>
              <w:t>3565</w:t>
            </w:r>
          </w:p>
        </w:tc>
        <w:tc>
          <w:tcPr>
            <w:tcW w:w="885" w:type="dxa"/>
          </w:tcPr>
          <w:p w14:paraId="6DDF2E99">
            <w:pPr>
              <w:spacing w:after="200" w:line="276" w:lineRule="auto"/>
              <w:ind w:firstLine="0"/>
              <w:rPr>
                <w:rFonts w:cs="Arial" w:eastAsiaTheme="minorEastAsia"/>
                <w:sz w:val="22"/>
                <w:lang w:val="ro-RO"/>
              </w:rPr>
            </w:pPr>
            <w:r>
              <w:rPr>
                <w:rFonts w:cs="Arial" w:eastAsiaTheme="minorEastAsia"/>
                <w:sz w:val="22"/>
                <w:lang w:val="ro-RO"/>
              </w:rPr>
              <w:t>2103</w:t>
            </w:r>
          </w:p>
        </w:tc>
        <w:tc>
          <w:tcPr>
            <w:tcW w:w="885" w:type="dxa"/>
          </w:tcPr>
          <w:p w14:paraId="260BA6C9">
            <w:pPr>
              <w:spacing w:after="200" w:line="276" w:lineRule="auto"/>
              <w:ind w:firstLine="0"/>
              <w:rPr>
                <w:rFonts w:cs="Arial" w:eastAsiaTheme="minorEastAsia"/>
                <w:sz w:val="22"/>
                <w:lang w:val="ro-RO"/>
              </w:rPr>
            </w:pPr>
            <w:r>
              <w:rPr>
                <w:rFonts w:cs="Arial" w:eastAsiaTheme="minorEastAsia"/>
                <w:sz w:val="22"/>
                <w:lang w:val="ro-RO"/>
              </w:rPr>
              <w:t>59</w:t>
            </w:r>
          </w:p>
        </w:tc>
        <w:tc>
          <w:tcPr>
            <w:tcW w:w="886" w:type="dxa"/>
          </w:tcPr>
          <w:p w14:paraId="280A2298">
            <w:pPr>
              <w:spacing w:after="200" w:line="276" w:lineRule="auto"/>
              <w:ind w:firstLine="0"/>
              <w:rPr>
                <w:rFonts w:cs="Arial" w:eastAsiaTheme="minorEastAsia"/>
                <w:sz w:val="22"/>
                <w:lang w:val="ro-RO"/>
              </w:rPr>
            </w:pPr>
            <w:r>
              <w:rPr>
                <w:rFonts w:cs="Arial" w:eastAsiaTheme="minorEastAsia"/>
                <w:sz w:val="22"/>
                <w:lang w:val="ro-RO"/>
              </w:rPr>
              <w:t>965</w:t>
            </w:r>
          </w:p>
        </w:tc>
        <w:tc>
          <w:tcPr>
            <w:tcW w:w="886" w:type="dxa"/>
          </w:tcPr>
          <w:p w14:paraId="27DDF630">
            <w:pPr>
              <w:spacing w:after="200" w:line="276" w:lineRule="auto"/>
              <w:ind w:firstLine="0"/>
              <w:rPr>
                <w:rFonts w:cs="Arial" w:eastAsiaTheme="minorEastAsia"/>
                <w:sz w:val="22"/>
                <w:lang w:val="ro-RO"/>
              </w:rPr>
            </w:pPr>
            <w:r>
              <w:rPr>
                <w:rFonts w:cs="Arial" w:eastAsiaTheme="minorEastAsia"/>
                <w:sz w:val="22"/>
                <w:lang w:val="ro-RO"/>
              </w:rPr>
              <w:t>27.06</w:t>
            </w:r>
          </w:p>
        </w:tc>
        <w:tc>
          <w:tcPr>
            <w:tcW w:w="886" w:type="dxa"/>
          </w:tcPr>
          <w:p w14:paraId="093A6888">
            <w:pPr>
              <w:spacing w:after="200" w:line="276" w:lineRule="auto"/>
              <w:ind w:firstLine="0"/>
              <w:rPr>
                <w:rFonts w:cs="Arial" w:eastAsiaTheme="minorEastAsia"/>
                <w:sz w:val="22"/>
                <w:lang w:val="ro-RO"/>
              </w:rPr>
            </w:pPr>
            <w:r>
              <w:rPr>
                <w:rFonts w:cs="Arial" w:eastAsiaTheme="minorEastAsia"/>
                <w:sz w:val="22"/>
                <w:lang w:val="ro-RO"/>
              </w:rPr>
              <w:t>495</w:t>
            </w:r>
          </w:p>
        </w:tc>
        <w:tc>
          <w:tcPr>
            <w:tcW w:w="886" w:type="dxa"/>
          </w:tcPr>
          <w:p w14:paraId="20C8DBC3">
            <w:pPr>
              <w:spacing w:after="200" w:line="276" w:lineRule="auto"/>
              <w:ind w:firstLine="0"/>
              <w:rPr>
                <w:rFonts w:cs="Arial" w:eastAsiaTheme="minorEastAsia"/>
                <w:sz w:val="22"/>
                <w:lang w:val="ro-RO"/>
              </w:rPr>
            </w:pPr>
            <w:r>
              <w:rPr>
                <w:rFonts w:cs="Arial" w:eastAsiaTheme="minorEastAsia"/>
                <w:sz w:val="22"/>
                <w:lang w:val="ro-RO"/>
              </w:rPr>
              <w:t>13.8</w:t>
            </w:r>
          </w:p>
        </w:tc>
        <w:tc>
          <w:tcPr>
            <w:tcW w:w="887" w:type="dxa"/>
          </w:tcPr>
          <w:p w14:paraId="54A37DB6">
            <w:pPr>
              <w:spacing w:after="200" w:line="276" w:lineRule="auto"/>
              <w:ind w:firstLine="0"/>
              <w:rPr>
                <w:rFonts w:cs="Arial" w:eastAsiaTheme="minorEastAsia"/>
                <w:sz w:val="22"/>
                <w:lang w:val="ro-RO"/>
              </w:rPr>
            </w:pPr>
            <w:r>
              <w:rPr>
                <w:rFonts w:cs="Arial" w:eastAsiaTheme="minorEastAsia"/>
                <w:sz w:val="22"/>
                <w:lang w:val="ro-RO"/>
              </w:rPr>
              <w:t>2</w:t>
            </w:r>
          </w:p>
        </w:tc>
        <w:tc>
          <w:tcPr>
            <w:tcW w:w="887" w:type="dxa"/>
          </w:tcPr>
          <w:p w14:paraId="1F1A9FF6">
            <w:pPr>
              <w:spacing w:after="200" w:line="276" w:lineRule="auto"/>
              <w:ind w:firstLine="0"/>
              <w:rPr>
                <w:rFonts w:cs="Arial" w:eastAsiaTheme="minorEastAsia"/>
                <w:sz w:val="22"/>
                <w:lang w:val="ro-RO"/>
              </w:rPr>
            </w:pPr>
            <w:r>
              <w:rPr>
                <w:rFonts w:cs="Arial" w:eastAsiaTheme="minorEastAsia"/>
                <w:sz w:val="22"/>
                <w:lang w:val="ro-RO"/>
              </w:rPr>
              <w:t>0.05</w:t>
            </w:r>
          </w:p>
        </w:tc>
      </w:tr>
      <w:tr w14:paraId="5C16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tcPr>
          <w:p w14:paraId="0F02F2AD">
            <w:pPr>
              <w:spacing w:after="200" w:line="276" w:lineRule="auto"/>
              <w:ind w:firstLine="0"/>
              <w:rPr>
                <w:rFonts w:cs="Arial" w:eastAsiaTheme="minorEastAsia"/>
                <w:sz w:val="22"/>
                <w:lang w:val="ro-RO"/>
              </w:rPr>
            </w:pPr>
            <w:r>
              <w:rPr>
                <w:rFonts w:cs="Arial" w:eastAsiaTheme="minorEastAsia"/>
                <w:sz w:val="22"/>
                <w:lang w:val="ro-RO"/>
              </w:rPr>
              <w:t>2005</w:t>
            </w:r>
          </w:p>
        </w:tc>
        <w:tc>
          <w:tcPr>
            <w:tcW w:w="1161" w:type="dxa"/>
          </w:tcPr>
          <w:p w14:paraId="7F247EA2">
            <w:pPr>
              <w:spacing w:after="200" w:line="276" w:lineRule="auto"/>
              <w:ind w:firstLine="0"/>
              <w:rPr>
                <w:rFonts w:cs="Arial" w:eastAsiaTheme="minorEastAsia"/>
                <w:sz w:val="22"/>
                <w:lang w:val="ro-RO"/>
              </w:rPr>
            </w:pPr>
            <w:r>
              <w:rPr>
                <w:rFonts w:cs="Arial" w:eastAsiaTheme="minorEastAsia"/>
                <w:sz w:val="22"/>
                <w:lang w:val="ro-RO"/>
              </w:rPr>
              <w:t>4086</w:t>
            </w:r>
          </w:p>
        </w:tc>
        <w:tc>
          <w:tcPr>
            <w:tcW w:w="885" w:type="dxa"/>
          </w:tcPr>
          <w:p w14:paraId="361AF800">
            <w:pPr>
              <w:spacing w:after="200" w:line="276" w:lineRule="auto"/>
              <w:ind w:firstLine="0"/>
              <w:rPr>
                <w:rFonts w:cs="Arial" w:eastAsiaTheme="minorEastAsia"/>
                <w:sz w:val="22"/>
                <w:lang w:val="ro-RO"/>
              </w:rPr>
            </w:pPr>
            <w:r>
              <w:rPr>
                <w:rFonts w:cs="Arial" w:eastAsiaTheme="minorEastAsia"/>
                <w:sz w:val="22"/>
                <w:lang w:val="ro-RO"/>
              </w:rPr>
              <w:t>2656</w:t>
            </w:r>
          </w:p>
        </w:tc>
        <w:tc>
          <w:tcPr>
            <w:tcW w:w="885" w:type="dxa"/>
          </w:tcPr>
          <w:p w14:paraId="43A8E840">
            <w:pPr>
              <w:spacing w:after="200" w:line="276" w:lineRule="auto"/>
              <w:ind w:firstLine="0"/>
              <w:rPr>
                <w:rFonts w:cs="Arial" w:eastAsiaTheme="minorEastAsia"/>
                <w:sz w:val="22"/>
                <w:lang w:val="ro-RO"/>
              </w:rPr>
            </w:pPr>
            <w:r>
              <w:rPr>
                <w:rFonts w:cs="Arial" w:eastAsiaTheme="minorEastAsia"/>
                <w:sz w:val="22"/>
                <w:lang w:val="ro-RO"/>
              </w:rPr>
              <w:t>65</w:t>
            </w:r>
          </w:p>
        </w:tc>
        <w:tc>
          <w:tcPr>
            <w:tcW w:w="886" w:type="dxa"/>
          </w:tcPr>
          <w:p w14:paraId="41E2A755">
            <w:pPr>
              <w:spacing w:after="200" w:line="276" w:lineRule="auto"/>
              <w:ind w:firstLine="0"/>
              <w:rPr>
                <w:rFonts w:cs="Arial" w:eastAsiaTheme="minorEastAsia"/>
                <w:sz w:val="22"/>
                <w:lang w:val="ro-RO"/>
              </w:rPr>
            </w:pPr>
            <w:r>
              <w:rPr>
                <w:rFonts w:cs="Arial" w:eastAsiaTheme="minorEastAsia"/>
                <w:sz w:val="22"/>
                <w:lang w:val="ro-RO"/>
              </w:rPr>
              <w:t>1250</w:t>
            </w:r>
          </w:p>
        </w:tc>
        <w:tc>
          <w:tcPr>
            <w:tcW w:w="886" w:type="dxa"/>
          </w:tcPr>
          <w:p w14:paraId="2F3A37AE">
            <w:pPr>
              <w:spacing w:after="200" w:line="276" w:lineRule="auto"/>
              <w:ind w:firstLine="0"/>
              <w:rPr>
                <w:rFonts w:cs="Arial" w:eastAsiaTheme="minorEastAsia"/>
                <w:sz w:val="22"/>
                <w:lang w:val="ro-RO"/>
              </w:rPr>
            </w:pPr>
            <w:r>
              <w:rPr>
                <w:rFonts w:cs="Arial" w:eastAsiaTheme="minorEastAsia"/>
                <w:sz w:val="22"/>
                <w:lang w:val="ro-RO"/>
              </w:rPr>
              <w:t>30.60</w:t>
            </w:r>
          </w:p>
        </w:tc>
        <w:tc>
          <w:tcPr>
            <w:tcW w:w="886" w:type="dxa"/>
          </w:tcPr>
          <w:p w14:paraId="6776D2D8">
            <w:pPr>
              <w:spacing w:after="200" w:line="276" w:lineRule="auto"/>
              <w:ind w:firstLine="0"/>
              <w:rPr>
                <w:rFonts w:cs="Arial" w:eastAsiaTheme="minorEastAsia"/>
                <w:sz w:val="22"/>
                <w:lang w:val="ro-RO"/>
              </w:rPr>
            </w:pPr>
            <w:r>
              <w:rPr>
                <w:rFonts w:cs="Arial" w:eastAsiaTheme="minorEastAsia"/>
                <w:sz w:val="22"/>
                <w:lang w:val="ro-RO"/>
              </w:rPr>
              <w:t>159</w:t>
            </w:r>
          </w:p>
        </w:tc>
        <w:tc>
          <w:tcPr>
            <w:tcW w:w="886" w:type="dxa"/>
          </w:tcPr>
          <w:p w14:paraId="548390FE">
            <w:pPr>
              <w:spacing w:after="200" w:line="276" w:lineRule="auto"/>
              <w:ind w:firstLine="0"/>
              <w:rPr>
                <w:rFonts w:cs="Arial" w:eastAsiaTheme="minorEastAsia"/>
                <w:sz w:val="22"/>
                <w:lang w:val="ro-RO"/>
              </w:rPr>
            </w:pPr>
            <w:r>
              <w:rPr>
                <w:rFonts w:cs="Arial" w:eastAsiaTheme="minorEastAsia"/>
                <w:sz w:val="22"/>
                <w:lang w:val="ro-RO"/>
              </w:rPr>
              <w:t>3.89</w:t>
            </w:r>
          </w:p>
        </w:tc>
        <w:tc>
          <w:tcPr>
            <w:tcW w:w="887" w:type="dxa"/>
          </w:tcPr>
          <w:p w14:paraId="565E4906">
            <w:pPr>
              <w:spacing w:after="200" w:line="276" w:lineRule="auto"/>
              <w:ind w:firstLine="0"/>
              <w:rPr>
                <w:rFonts w:cs="Arial" w:eastAsiaTheme="minorEastAsia"/>
                <w:sz w:val="22"/>
                <w:lang w:val="ro-RO"/>
              </w:rPr>
            </w:pPr>
            <w:r>
              <w:rPr>
                <w:rFonts w:cs="Arial" w:eastAsiaTheme="minorEastAsia"/>
                <w:sz w:val="22"/>
                <w:lang w:val="ro-RO"/>
              </w:rPr>
              <w:t>21</w:t>
            </w:r>
          </w:p>
        </w:tc>
        <w:tc>
          <w:tcPr>
            <w:tcW w:w="887" w:type="dxa"/>
          </w:tcPr>
          <w:p w14:paraId="7A244278">
            <w:pPr>
              <w:spacing w:after="200" w:line="276" w:lineRule="auto"/>
              <w:ind w:firstLine="0"/>
              <w:rPr>
                <w:rFonts w:cs="Arial" w:eastAsiaTheme="minorEastAsia"/>
                <w:sz w:val="22"/>
                <w:lang w:val="ro-RO"/>
              </w:rPr>
            </w:pPr>
            <w:r>
              <w:rPr>
                <w:rFonts w:cs="Arial" w:eastAsiaTheme="minorEastAsia"/>
                <w:sz w:val="22"/>
                <w:lang w:val="ro-RO"/>
              </w:rPr>
              <w:t>0.51</w:t>
            </w:r>
          </w:p>
        </w:tc>
      </w:tr>
      <w:tr w14:paraId="474F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exact"/>
          <w:jc w:val="center"/>
        </w:trPr>
        <w:tc>
          <w:tcPr>
            <w:tcW w:w="892" w:type="dxa"/>
          </w:tcPr>
          <w:p w14:paraId="75A45E84">
            <w:pPr>
              <w:spacing w:after="200" w:line="276" w:lineRule="auto"/>
              <w:ind w:firstLine="0"/>
              <w:rPr>
                <w:rFonts w:cs="Arial" w:eastAsiaTheme="minorEastAsia"/>
                <w:sz w:val="22"/>
                <w:lang w:val="ro-RO"/>
              </w:rPr>
            </w:pPr>
            <w:r>
              <w:rPr>
                <w:rFonts w:cs="Arial" w:eastAsiaTheme="minorEastAsia"/>
                <w:sz w:val="22"/>
                <w:lang w:val="ro-RO"/>
              </w:rPr>
              <w:t>2013</w:t>
            </w:r>
          </w:p>
        </w:tc>
        <w:tc>
          <w:tcPr>
            <w:tcW w:w="1161" w:type="dxa"/>
          </w:tcPr>
          <w:p w14:paraId="3DCAD5CE">
            <w:pPr>
              <w:spacing w:after="200" w:line="276" w:lineRule="auto"/>
              <w:ind w:firstLine="0"/>
              <w:rPr>
                <w:rFonts w:cs="Arial" w:eastAsiaTheme="minorEastAsia"/>
                <w:sz w:val="22"/>
                <w:lang w:val="ro-RO"/>
              </w:rPr>
            </w:pPr>
            <w:r>
              <w:rPr>
                <w:rFonts w:cs="Arial" w:eastAsiaTheme="minorEastAsia"/>
                <w:sz w:val="22"/>
                <w:lang w:val="ro-RO"/>
              </w:rPr>
              <w:t>4084</w:t>
            </w:r>
          </w:p>
        </w:tc>
        <w:tc>
          <w:tcPr>
            <w:tcW w:w="885" w:type="dxa"/>
          </w:tcPr>
          <w:p w14:paraId="29791063">
            <w:pPr>
              <w:spacing w:after="200" w:line="276" w:lineRule="auto"/>
              <w:ind w:firstLine="0"/>
              <w:rPr>
                <w:rFonts w:cs="Arial" w:eastAsiaTheme="minorEastAsia"/>
                <w:sz w:val="22"/>
                <w:lang w:val="ro-RO"/>
              </w:rPr>
            </w:pPr>
            <w:r>
              <w:rPr>
                <w:rFonts w:cs="Arial" w:eastAsiaTheme="minorEastAsia"/>
                <w:sz w:val="22"/>
                <w:lang w:val="ro-RO"/>
              </w:rPr>
              <w:t>2656</w:t>
            </w:r>
          </w:p>
        </w:tc>
        <w:tc>
          <w:tcPr>
            <w:tcW w:w="885" w:type="dxa"/>
          </w:tcPr>
          <w:p w14:paraId="2476638F">
            <w:pPr>
              <w:spacing w:after="200" w:line="276" w:lineRule="auto"/>
              <w:ind w:firstLine="0"/>
              <w:rPr>
                <w:rFonts w:cs="Arial" w:eastAsiaTheme="minorEastAsia"/>
                <w:sz w:val="22"/>
                <w:lang w:val="ro-RO"/>
              </w:rPr>
            </w:pPr>
            <w:r>
              <w:rPr>
                <w:rFonts w:cs="Arial" w:eastAsiaTheme="minorEastAsia"/>
                <w:sz w:val="22"/>
                <w:lang w:val="ro-RO"/>
              </w:rPr>
              <w:t>65</w:t>
            </w:r>
          </w:p>
        </w:tc>
        <w:tc>
          <w:tcPr>
            <w:tcW w:w="886" w:type="dxa"/>
          </w:tcPr>
          <w:p w14:paraId="6CD62443">
            <w:pPr>
              <w:spacing w:after="200" w:line="276" w:lineRule="auto"/>
              <w:ind w:firstLine="0"/>
              <w:rPr>
                <w:rFonts w:cs="Arial" w:eastAsiaTheme="minorEastAsia"/>
                <w:sz w:val="22"/>
                <w:lang w:val="ro-RO"/>
              </w:rPr>
            </w:pPr>
            <w:r>
              <w:rPr>
                <w:rFonts w:cs="Arial" w:eastAsiaTheme="minorEastAsia"/>
                <w:sz w:val="22"/>
                <w:lang w:val="ro-RO"/>
              </w:rPr>
              <w:t>1250</w:t>
            </w:r>
          </w:p>
        </w:tc>
        <w:tc>
          <w:tcPr>
            <w:tcW w:w="886" w:type="dxa"/>
          </w:tcPr>
          <w:p w14:paraId="6E3A0AD5">
            <w:pPr>
              <w:spacing w:after="200" w:line="276" w:lineRule="auto"/>
              <w:ind w:firstLine="0"/>
              <w:rPr>
                <w:rFonts w:cs="Arial" w:eastAsiaTheme="minorEastAsia"/>
                <w:sz w:val="22"/>
                <w:lang w:val="ro-RO"/>
              </w:rPr>
            </w:pPr>
            <w:r>
              <w:rPr>
                <w:rFonts w:cs="Arial" w:eastAsiaTheme="minorEastAsia"/>
                <w:sz w:val="22"/>
                <w:lang w:val="ro-RO"/>
              </w:rPr>
              <w:t>30.60</w:t>
            </w:r>
          </w:p>
        </w:tc>
        <w:tc>
          <w:tcPr>
            <w:tcW w:w="886" w:type="dxa"/>
          </w:tcPr>
          <w:p w14:paraId="43BE8E2E">
            <w:pPr>
              <w:spacing w:after="200" w:line="276" w:lineRule="auto"/>
              <w:ind w:firstLine="0"/>
              <w:rPr>
                <w:rFonts w:cs="Arial" w:eastAsiaTheme="minorEastAsia"/>
                <w:sz w:val="22"/>
                <w:lang w:val="ro-RO"/>
              </w:rPr>
            </w:pPr>
            <w:r>
              <w:rPr>
                <w:rFonts w:cs="Arial" w:eastAsiaTheme="minorEastAsia"/>
                <w:sz w:val="22"/>
                <w:lang w:val="ro-RO"/>
              </w:rPr>
              <w:t>159</w:t>
            </w:r>
          </w:p>
        </w:tc>
        <w:tc>
          <w:tcPr>
            <w:tcW w:w="886" w:type="dxa"/>
          </w:tcPr>
          <w:p w14:paraId="00615DD8">
            <w:pPr>
              <w:spacing w:after="200" w:line="276" w:lineRule="auto"/>
              <w:ind w:firstLine="0"/>
              <w:rPr>
                <w:rFonts w:cs="Arial" w:eastAsiaTheme="minorEastAsia"/>
                <w:sz w:val="22"/>
                <w:lang w:val="ro-RO"/>
              </w:rPr>
            </w:pPr>
            <w:r>
              <w:rPr>
                <w:rFonts w:cs="Arial" w:eastAsiaTheme="minorEastAsia"/>
                <w:sz w:val="22"/>
                <w:lang w:val="ro-RO"/>
              </w:rPr>
              <w:t>3.89</w:t>
            </w:r>
          </w:p>
        </w:tc>
        <w:tc>
          <w:tcPr>
            <w:tcW w:w="887" w:type="dxa"/>
          </w:tcPr>
          <w:p w14:paraId="3259E6DC">
            <w:pPr>
              <w:spacing w:after="200" w:line="276" w:lineRule="auto"/>
              <w:ind w:firstLine="0"/>
              <w:rPr>
                <w:rFonts w:cs="Arial" w:eastAsiaTheme="minorEastAsia"/>
                <w:sz w:val="22"/>
                <w:lang w:val="ro-RO"/>
              </w:rPr>
            </w:pPr>
            <w:r>
              <w:rPr>
                <w:rFonts w:cs="Arial" w:eastAsiaTheme="minorEastAsia"/>
                <w:sz w:val="22"/>
                <w:lang w:val="ro-RO"/>
              </w:rPr>
              <w:t>21</w:t>
            </w:r>
          </w:p>
        </w:tc>
        <w:tc>
          <w:tcPr>
            <w:tcW w:w="887" w:type="dxa"/>
          </w:tcPr>
          <w:p w14:paraId="3DFA5306">
            <w:pPr>
              <w:spacing w:after="200" w:line="276" w:lineRule="auto"/>
              <w:ind w:firstLine="0"/>
              <w:rPr>
                <w:rFonts w:cs="Arial" w:eastAsiaTheme="minorEastAsia"/>
                <w:sz w:val="22"/>
                <w:lang w:val="ro-RO"/>
              </w:rPr>
            </w:pPr>
            <w:r>
              <w:rPr>
                <w:rFonts w:cs="Arial" w:eastAsiaTheme="minorEastAsia"/>
                <w:sz w:val="22"/>
                <w:lang w:val="ro-RO"/>
              </w:rPr>
              <w:t>0.51</w:t>
            </w:r>
          </w:p>
        </w:tc>
      </w:tr>
    </w:tbl>
    <w:p w14:paraId="4EDDF802">
      <w:pPr>
        <w:jc w:val="center"/>
        <w:rPr>
          <w:rFonts w:cs="Arial"/>
          <w:i/>
          <w:iCs/>
          <w:sz w:val="22"/>
          <w:lang w:val="ro-RO"/>
        </w:rPr>
      </w:pPr>
      <w:r>
        <w:rPr>
          <w:rFonts w:cs="Arial"/>
          <w:i/>
          <w:iCs/>
          <w:sz w:val="22"/>
          <w:lang w:val="ro-RO"/>
        </w:rPr>
        <w:t>Sursa: PUG, 2023</w:t>
      </w:r>
    </w:p>
    <w:p w14:paraId="5DC98E11">
      <w:pPr>
        <w:rPr>
          <w:rFonts w:cs="Arial"/>
          <w:sz w:val="22"/>
          <w:lang w:val="ro-RO"/>
        </w:rPr>
      </w:pPr>
    </w:p>
    <w:p w14:paraId="520415A1">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3</w:t>
      </w:r>
      <w:r>
        <w:rPr>
          <w:sz w:val="22"/>
          <w:szCs w:val="22"/>
        </w:rPr>
        <w:fldChar w:fldCharType="end"/>
      </w:r>
      <w:r>
        <w:rPr>
          <w:sz w:val="22"/>
          <w:szCs w:val="22"/>
        </w:rPr>
        <w:t>. Evoluția efectivelor de animale, Sursa: Bîrlă, Ani-Lavinia. Sistematizarea și dezvoltarea comunei Șimian. Drobeta-Turnu Severin. Profin, 2018</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767"/>
        <w:gridCol w:w="714"/>
        <w:gridCol w:w="714"/>
        <w:gridCol w:w="714"/>
        <w:gridCol w:w="714"/>
        <w:gridCol w:w="714"/>
        <w:gridCol w:w="714"/>
        <w:gridCol w:w="714"/>
        <w:gridCol w:w="1012"/>
        <w:gridCol w:w="889"/>
        <w:gridCol w:w="889"/>
      </w:tblGrid>
      <w:tr w14:paraId="1C08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gridSpan w:val="3"/>
            <w:tcBorders>
              <w:top w:val="single" w:color="auto" w:sz="4" w:space="0"/>
              <w:left w:val="single" w:color="auto" w:sz="4" w:space="0"/>
              <w:bottom w:val="single" w:color="auto" w:sz="4" w:space="0"/>
              <w:right w:val="single" w:color="auto" w:sz="4" w:space="0"/>
            </w:tcBorders>
            <w:shd w:val="clear" w:color="auto" w:fill="585858" w:themeFill="text1" w:themeFillTint="A6"/>
          </w:tcPr>
          <w:p w14:paraId="1AF6F8FB">
            <w:pPr>
              <w:spacing w:line="240" w:lineRule="auto"/>
              <w:ind w:firstLine="0"/>
              <w:jc w:val="center"/>
              <w:rPr>
                <w:rFonts w:cs="Arial" w:eastAsiaTheme="minorEastAsia"/>
                <w:b/>
                <w:bCs/>
                <w:color w:val="FFFFFF" w:themeColor="background1"/>
                <w:sz w:val="22"/>
                <w:lang w:val="ro-RO"/>
                <w14:textFill>
                  <w14:solidFill>
                    <w14:schemeClr w14:val="bg1"/>
                  </w14:solidFill>
                </w14:textFill>
              </w:rPr>
            </w:pPr>
            <w:r>
              <w:rPr>
                <w:rFonts w:cs="Arial" w:eastAsiaTheme="minorEastAsia"/>
                <w:b/>
                <w:bCs/>
                <w:color w:val="FFFFFF" w:themeColor="background1"/>
                <w:sz w:val="22"/>
                <w:lang w:val="ro-RO"/>
                <w14:textFill>
                  <w14:solidFill>
                    <w14:schemeClr w14:val="bg1"/>
                  </w14:solidFill>
                </w14:textFill>
              </w:rPr>
              <w:t>Bovine</w:t>
            </w:r>
          </w:p>
        </w:tc>
        <w:tc>
          <w:tcPr>
            <w:tcW w:w="2142" w:type="dxa"/>
            <w:gridSpan w:val="3"/>
            <w:tcBorders>
              <w:top w:val="single" w:color="auto" w:sz="4" w:space="0"/>
              <w:left w:val="single" w:color="auto" w:sz="4" w:space="0"/>
              <w:bottom w:val="single" w:color="auto" w:sz="4" w:space="0"/>
              <w:right w:val="single" w:color="auto" w:sz="4" w:space="0"/>
            </w:tcBorders>
            <w:shd w:val="clear" w:color="auto" w:fill="585858" w:themeFill="text1" w:themeFillTint="A6"/>
          </w:tcPr>
          <w:p w14:paraId="0FBA7241">
            <w:pPr>
              <w:spacing w:line="240" w:lineRule="auto"/>
              <w:ind w:firstLine="0"/>
              <w:jc w:val="center"/>
              <w:rPr>
                <w:rFonts w:cs="Arial" w:eastAsiaTheme="minorEastAsia"/>
                <w:b/>
                <w:bCs/>
                <w:color w:val="FFFFFF" w:themeColor="background1"/>
                <w:sz w:val="22"/>
                <w:lang w:val="ro-RO"/>
                <w14:textFill>
                  <w14:solidFill>
                    <w14:schemeClr w14:val="bg1"/>
                  </w14:solidFill>
                </w14:textFill>
              </w:rPr>
            </w:pPr>
            <w:r>
              <w:rPr>
                <w:rFonts w:cs="Arial" w:eastAsiaTheme="minorEastAsia"/>
                <w:b/>
                <w:bCs/>
                <w:color w:val="FFFFFF" w:themeColor="background1"/>
                <w:sz w:val="22"/>
                <w:lang w:val="ro-RO"/>
                <w14:textFill>
                  <w14:solidFill>
                    <w14:schemeClr w14:val="bg1"/>
                  </w14:solidFill>
                </w14:textFill>
              </w:rPr>
              <w:t>Porcine</w:t>
            </w:r>
          </w:p>
        </w:tc>
        <w:tc>
          <w:tcPr>
            <w:tcW w:w="2142" w:type="dxa"/>
            <w:gridSpan w:val="3"/>
            <w:tcBorders>
              <w:top w:val="single" w:color="auto" w:sz="4" w:space="0"/>
              <w:left w:val="single" w:color="auto" w:sz="4" w:space="0"/>
              <w:bottom w:val="single" w:color="auto" w:sz="4" w:space="0"/>
              <w:right w:val="single" w:color="auto" w:sz="4" w:space="0"/>
            </w:tcBorders>
            <w:shd w:val="clear" w:color="auto" w:fill="585858" w:themeFill="text1" w:themeFillTint="A6"/>
          </w:tcPr>
          <w:p w14:paraId="7EBDDC82">
            <w:pPr>
              <w:spacing w:line="240" w:lineRule="auto"/>
              <w:ind w:firstLine="0"/>
              <w:jc w:val="center"/>
              <w:rPr>
                <w:rFonts w:cs="Arial" w:eastAsiaTheme="minorEastAsia"/>
                <w:b/>
                <w:bCs/>
                <w:color w:val="FFFFFF" w:themeColor="background1"/>
                <w:sz w:val="22"/>
                <w:lang w:val="ro-RO"/>
                <w14:textFill>
                  <w14:solidFill>
                    <w14:schemeClr w14:val="bg1"/>
                  </w14:solidFill>
                </w14:textFill>
              </w:rPr>
            </w:pPr>
            <w:r>
              <w:rPr>
                <w:rFonts w:cs="Arial" w:eastAsiaTheme="minorEastAsia"/>
                <w:b/>
                <w:bCs/>
                <w:color w:val="FFFFFF" w:themeColor="background1"/>
                <w:sz w:val="22"/>
                <w:lang w:val="ro-RO"/>
                <w14:textFill>
                  <w14:solidFill>
                    <w14:schemeClr w14:val="bg1"/>
                  </w14:solidFill>
                </w14:textFill>
              </w:rPr>
              <w:t>Ovine</w:t>
            </w:r>
          </w:p>
        </w:tc>
        <w:tc>
          <w:tcPr>
            <w:tcW w:w="2601" w:type="dxa"/>
            <w:gridSpan w:val="3"/>
            <w:tcBorders>
              <w:top w:val="single" w:color="auto" w:sz="4" w:space="0"/>
              <w:left w:val="single" w:color="auto" w:sz="4" w:space="0"/>
              <w:bottom w:val="single" w:color="auto" w:sz="4" w:space="0"/>
              <w:right w:val="single" w:color="auto" w:sz="4" w:space="0"/>
            </w:tcBorders>
            <w:shd w:val="clear" w:color="auto" w:fill="585858" w:themeFill="text1" w:themeFillTint="A6"/>
          </w:tcPr>
          <w:p w14:paraId="54C17092">
            <w:pPr>
              <w:spacing w:line="240" w:lineRule="auto"/>
              <w:ind w:firstLine="0"/>
              <w:jc w:val="center"/>
              <w:rPr>
                <w:rFonts w:cs="Arial" w:eastAsiaTheme="minorEastAsia"/>
                <w:b/>
                <w:bCs/>
                <w:color w:val="FFFFFF" w:themeColor="background1"/>
                <w:sz w:val="22"/>
                <w:lang w:val="ro-RO"/>
                <w14:textFill>
                  <w14:solidFill>
                    <w14:schemeClr w14:val="bg1"/>
                  </w14:solidFill>
                </w14:textFill>
              </w:rPr>
            </w:pPr>
            <w:r>
              <w:rPr>
                <w:rFonts w:cs="Arial" w:eastAsiaTheme="minorEastAsia"/>
                <w:b/>
                <w:bCs/>
                <w:color w:val="FFFFFF" w:themeColor="background1"/>
                <w:sz w:val="22"/>
                <w:lang w:val="ro-RO"/>
                <w14:textFill>
                  <w14:solidFill>
                    <w14:schemeClr w14:val="bg1"/>
                  </w14:solidFill>
                </w14:textFill>
              </w:rPr>
              <w:t>Păsări</w:t>
            </w:r>
          </w:p>
        </w:tc>
      </w:tr>
      <w:tr w14:paraId="46BA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Borders>
              <w:top w:val="single" w:color="auto" w:sz="4" w:space="0"/>
              <w:left w:val="single" w:color="auto" w:sz="4" w:space="0"/>
              <w:bottom w:val="single" w:color="auto" w:sz="4" w:space="0"/>
              <w:right w:val="single" w:color="auto" w:sz="4" w:space="0"/>
            </w:tcBorders>
          </w:tcPr>
          <w:p w14:paraId="09AE4EC7">
            <w:pPr>
              <w:spacing w:line="240" w:lineRule="auto"/>
              <w:ind w:firstLine="0"/>
              <w:rPr>
                <w:rFonts w:cs="Arial" w:eastAsiaTheme="minorEastAsia"/>
                <w:sz w:val="22"/>
                <w:lang w:val="ro-RO"/>
              </w:rPr>
            </w:pPr>
            <w:r>
              <w:rPr>
                <w:rFonts w:cs="Arial" w:eastAsiaTheme="minorEastAsia"/>
                <w:sz w:val="22"/>
                <w:lang w:val="ro-RO"/>
              </w:rPr>
              <w:t>1991</w:t>
            </w:r>
          </w:p>
        </w:tc>
        <w:tc>
          <w:tcPr>
            <w:tcW w:w="748" w:type="dxa"/>
            <w:tcBorders>
              <w:top w:val="single" w:color="auto" w:sz="4" w:space="0"/>
              <w:left w:val="single" w:color="auto" w:sz="4" w:space="0"/>
              <w:bottom w:val="single" w:color="auto" w:sz="4" w:space="0"/>
              <w:right w:val="single" w:color="auto" w:sz="4" w:space="0"/>
            </w:tcBorders>
          </w:tcPr>
          <w:p w14:paraId="7F10D360">
            <w:pPr>
              <w:spacing w:line="240" w:lineRule="auto"/>
              <w:ind w:firstLine="0"/>
              <w:rPr>
                <w:rFonts w:cs="Arial" w:eastAsiaTheme="minorEastAsia"/>
                <w:sz w:val="22"/>
                <w:lang w:val="ro-RO"/>
              </w:rPr>
            </w:pPr>
            <w:r>
              <w:rPr>
                <w:rFonts w:cs="Arial" w:eastAsiaTheme="minorEastAsia"/>
                <w:sz w:val="22"/>
                <w:lang w:val="ro-RO"/>
              </w:rPr>
              <w:t>2003</w:t>
            </w:r>
          </w:p>
        </w:tc>
        <w:tc>
          <w:tcPr>
            <w:tcW w:w="714" w:type="dxa"/>
            <w:tcBorders>
              <w:top w:val="single" w:color="auto" w:sz="4" w:space="0"/>
              <w:left w:val="single" w:color="auto" w:sz="4" w:space="0"/>
              <w:bottom w:val="single" w:color="auto" w:sz="4" w:space="0"/>
              <w:right w:val="single" w:color="auto" w:sz="4" w:space="0"/>
            </w:tcBorders>
          </w:tcPr>
          <w:p w14:paraId="4389F4B9">
            <w:pPr>
              <w:spacing w:line="240" w:lineRule="auto"/>
              <w:ind w:firstLine="0"/>
              <w:rPr>
                <w:rFonts w:cs="Arial" w:eastAsiaTheme="minorEastAsia"/>
                <w:sz w:val="22"/>
                <w:lang w:val="ro-RO"/>
              </w:rPr>
            </w:pPr>
            <w:r>
              <w:rPr>
                <w:rFonts w:cs="Arial" w:eastAsiaTheme="minorEastAsia"/>
                <w:sz w:val="22"/>
                <w:lang w:val="ro-RO"/>
              </w:rPr>
              <w:t>2010</w:t>
            </w:r>
          </w:p>
        </w:tc>
        <w:tc>
          <w:tcPr>
            <w:tcW w:w="714" w:type="dxa"/>
            <w:tcBorders>
              <w:top w:val="single" w:color="auto" w:sz="4" w:space="0"/>
              <w:left w:val="single" w:color="auto" w:sz="4" w:space="0"/>
              <w:bottom w:val="single" w:color="auto" w:sz="4" w:space="0"/>
              <w:right w:val="single" w:color="auto" w:sz="4" w:space="0"/>
            </w:tcBorders>
          </w:tcPr>
          <w:p w14:paraId="1E7E37F3">
            <w:pPr>
              <w:spacing w:line="240" w:lineRule="auto"/>
              <w:ind w:firstLine="0"/>
              <w:rPr>
                <w:rFonts w:cs="Arial" w:eastAsiaTheme="minorEastAsia"/>
                <w:sz w:val="22"/>
                <w:lang w:val="ro-RO"/>
              </w:rPr>
            </w:pPr>
            <w:r>
              <w:rPr>
                <w:rFonts w:cs="Arial" w:eastAsiaTheme="minorEastAsia"/>
                <w:sz w:val="22"/>
                <w:lang w:val="ro-RO"/>
              </w:rPr>
              <w:t>1991</w:t>
            </w:r>
          </w:p>
        </w:tc>
        <w:tc>
          <w:tcPr>
            <w:tcW w:w="714" w:type="dxa"/>
            <w:tcBorders>
              <w:top w:val="single" w:color="auto" w:sz="4" w:space="0"/>
              <w:left w:val="single" w:color="auto" w:sz="4" w:space="0"/>
              <w:bottom w:val="single" w:color="auto" w:sz="4" w:space="0"/>
              <w:right w:val="single" w:color="auto" w:sz="4" w:space="0"/>
            </w:tcBorders>
          </w:tcPr>
          <w:p w14:paraId="6B35177A">
            <w:pPr>
              <w:spacing w:line="240" w:lineRule="auto"/>
              <w:ind w:firstLine="0"/>
              <w:rPr>
                <w:rFonts w:cs="Arial" w:eastAsiaTheme="minorEastAsia"/>
                <w:sz w:val="22"/>
                <w:lang w:val="ro-RO"/>
              </w:rPr>
            </w:pPr>
            <w:r>
              <w:rPr>
                <w:rFonts w:cs="Arial" w:eastAsiaTheme="minorEastAsia"/>
                <w:sz w:val="22"/>
                <w:lang w:val="ro-RO"/>
              </w:rPr>
              <w:t>2003</w:t>
            </w:r>
          </w:p>
        </w:tc>
        <w:tc>
          <w:tcPr>
            <w:tcW w:w="714" w:type="dxa"/>
            <w:tcBorders>
              <w:top w:val="single" w:color="auto" w:sz="4" w:space="0"/>
              <w:left w:val="single" w:color="auto" w:sz="4" w:space="0"/>
              <w:bottom w:val="single" w:color="auto" w:sz="4" w:space="0"/>
              <w:right w:val="single" w:color="auto" w:sz="4" w:space="0"/>
            </w:tcBorders>
          </w:tcPr>
          <w:p w14:paraId="6ED297FB">
            <w:pPr>
              <w:spacing w:line="240" w:lineRule="auto"/>
              <w:ind w:firstLine="0"/>
              <w:rPr>
                <w:rFonts w:cs="Arial" w:eastAsiaTheme="minorEastAsia"/>
                <w:sz w:val="22"/>
                <w:lang w:val="ro-RO"/>
              </w:rPr>
            </w:pPr>
            <w:r>
              <w:rPr>
                <w:rFonts w:cs="Arial" w:eastAsiaTheme="minorEastAsia"/>
                <w:sz w:val="22"/>
                <w:lang w:val="ro-RO"/>
              </w:rPr>
              <w:t>2010</w:t>
            </w:r>
          </w:p>
        </w:tc>
        <w:tc>
          <w:tcPr>
            <w:tcW w:w="714" w:type="dxa"/>
            <w:tcBorders>
              <w:top w:val="single" w:color="auto" w:sz="4" w:space="0"/>
              <w:left w:val="single" w:color="auto" w:sz="4" w:space="0"/>
              <w:bottom w:val="single" w:color="auto" w:sz="4" w:space="0"/>
              <w:right w:val="single" w:color="auto" w:sz="4" w:space="0"/>
            </w:tcBorders>
          </w:tcPr>
          <w:p w14:paraId="201D7158">
            <w:pPr>
              <w:spacing w:line="240" w:lineRule="auto"/>
              <w:ind w:firstLine="0"/>
              <w:rPr>
                <w:rFonts w:cs="Arial" w:eastAsiaTheme="minorEastAsia"/>
                <w:sz w:val="22"/>
                <w:lang w:val="ro-RO"/>
              </w:rPr>
            </w:pPr>
            <w:r>
              <w:rPr>
                <w:rFonts w:cs="Arial" w:eastAsiaTheme="minorEastAsia"/>
                <w:sz w:val="22"/>
                <w:lang w:val="ro-RO"/>
              </w:rPr>
              <w:t>1991</w:t>
            </w:r>
          </w:p>
        </w:tc>
        <w:tc>
          <w:tcPr>
            <w:tcW w:w="714" w:type="dxa"/>
            <w:tcBorders>
              <w:top w:val="single" w:color="auto" w:sz="4" w:space="0"/>
              <w:left w:val="single" w:color="auto" w:sz="4" w:space="0"/>
              <w:bottom w:val="single" w:color="auto" w:sz="4" w:space="0"/>
              <w:right w:val="single" w:color="auto" w:sz="4" w:space="0"/>
            </w:tcBorders>
          </w:tcPr>
          <w:p w14:paraId="24920BDF">
            <w:pPr>
              <w:spacing w:line="240" w:lineRule="auto"/>
              <w:ind w:firstLine="0"/>
              <w:rPr>
                <w:rFonts w:cs="Arial" w:eastAsiaTheme="minorEastAsia"/>
                <w:sz w:val="22"/>
                <w:lang w:val="ro-RO"/>
              </w:rPr>
            </w:pPr>
            <w:r>
              <w:rPr>
                <w:rFonts w:cs="Arial" w:eastAsiaTheme="minorEastAsia"/>
                <w:sz w:val="22"/>
                <w:lang w:val="ro-RO"/>
              </w:rPr>
              <w:t>2003</w:t>
            </w:r>
          </w:p>
        </w:tc>
        <w:tc>
          <w:tcPr>
            <w:tcW w:w="714" w:type="dxa"/>
            <w:tcBorders>
              <w:top w:val="single" w:color="auto" w:sz="4" w:space="0"/>
              <w:left w:val="single" w:color="auto" w:sz="4" w:space="0"/>
              <w:bottom w:val="single" w:color="auto" w:sz="4" w:space="0"/>
              <w:right w:val="single" w:color="auto" w:sz="4" w:space="0"/>
            </w:tcBorders>
          </w:tcPr>
          <w:p w14:paraId="11DE27C1">
            <w:pPr>
              <w:spacing w:line="240" w:lineRule="auto"/>
              <w:ind w:firstLine="0"/>
              <w:rPr>
                <w:rFonts w:cs="Arial" w:eastAsiaTheme="minorEastAsia"/>
                <w:sz w:val="22"/>
                <w:lang w:val="ro-RO"/>
              </w:rPr>
            </w:pPr>
            <w:r>
              <w:rPr>
                <w:rFonts w:cs="Arial" w:eastAsiaTheme="minorEastAsia"/>
                <w:sz w:val="22"/>
                <w:lang w:val="ro-RO"/>
              </w:rPr>
              <w:t>2010</w:t>
            </w:r>
          </w:p>
        </w:tc>
        <w:tc>
          <w:tcPr>
            <w:tcW w:w="941" w:type="dxa"/>
            <w:tcBorders>
              <w:top w:val="single" w:color="auto" w:sz="4" w:space="0"/>
              <w:left w:val="single" w:color="auto" w:sz="4" w:space="0"/>
              <w:bottom w:val="single" w:color="auto" w:sz="4" w:space="0"/>
              <w:right w:val="single" w:color="auto" w:sz="4" w:space="0"/>
            </w:tcBorders>
          </w:tcPr>
          <w:p w14:paraId="12A7E45E">
            <w:pPr>
              <w:spacing w:line="240" w:lineRule="auto"/>
              <w:ind w:firstLine="0"/>
              <w:rPr>
                <w:rFonts w:cs="Arial" w:eastAsiaTheme="minorEastAsia"/>
                <w:sz w:val="22"/>
                <w:lang w:val="ro-RO"/>
              </w:rPr>
            </w:pPr>
            <w:r>
              <w:rPr>
                <w:rFonts w:cs="Arial" w:eastAsiaTheme="minorEastAsia"/>
                <w:sz w:val="22"/>
                <w:lang w:val="ro-RO"/>
              </w:rPr>
              <w:t>1991</w:t>
            </w:r>
          </w:p>
        </w:tc>
        <w:tc>
          <w:tcPr>
            <w:tcW w:w="830" w:type="dxa"/>
            <w:tcBorders>
              <w:top w:val="single" w:color="auto" w:sz="4" w:space="0"/>
              <w:left w:val="single" w:color="auto" w:sz="4" w:space="0"/>
              <w:bottom w:val="single" w:color="auto" w:sz="4" w:space="0"/>
              <w:right w:val="single" w:color="auto" w:sz="4" w:space="0"/>
            </w:tcBorders>
          </w:tcPr>
          <w:p w14:paraId="4DF0A80A">
            <w:pPr>
              <w:spacing w:line="240" w:lineRule="auto"/>
              <w:ind w:firstLine="0"/>
              <w:rPr>
                <w:rFonts w:cs="Arial" w:eastAsiaTheme="minorEastAsia"/>
                <w:sz w:val="22"/>
                <w:lang w:val="ro-RO"/>
              </w:rPr>
            </w:pPr>
            <w:r>
              <w:rPr>
                <w:rFonts w:cs="Arial" w:eastAsiaTheme="minorEastAsia"/>
                <w:sz w:val="22"/>
                <w:lang w:val="ro-RO"/>
              </w:rPr>
              <w:t>2003</w:t>
            </w:r>
          </w:p>
        </w:tc>
        <w:tc>
          <w:tcPr>
            <w:tcW w:w="830" w:type="dxa"/>
            <w:tcBorders>
              <w:top w:val="single" w:color="auto" w:sz="4" w:space="0"/>
              <w:left w:val="single" w:color="auto" w:sz="4" w:space="0"/>
              <w:bottom w:val="single" w:color="auto" w:sz="4" w:space="0"/>
              <w:right w:val="single" w:color="auto" w:sz="4" w:space="0"/>
            </w:tcBorders>
          </w:tcPr>
          <w:p w14:paraId="246B62D3">
            <w:pPr>
              <w:spacing w:line="240" w:lineRule="auto"/>
              <w:ind w:firstLine="0"/>
              <w:rPr>
                <w:rFonts w:cs="Arial" w:eastAsiaTheme="minorEastAsia"/>
                <w:sz w:val="22"/>
                <w:lang w:val="ro-RO"/>
              </w:rPr>
            </w:pPr>
            <w:r>
              <w:rPr>
                <w:rFonts w:cs="Arial" w:eastAsiaTheme="minorEastAsia"/>
                <w:sz w:val="22"/>
                <w:lang w:val="ro-RO"/>
              </w:rPr>
              <w:t>2010</w:t>
            </w:r>
          </w:p>
        </w:tc>
      </w:tr>
      <w:tr w14:paraId="0B6A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Borders>
              <w:top w:val="single" w:color="auto" w:sz="4" w:space="0"/>
              <w:left w:val="single" w:color="auto" w:sz="4" w:space="0"/>
              <w:bottom w:val="single" w:color="auto" w:sz="4" w:space="0"/>
              <w:right w:val="single" w:color="auto" w:sz="4" w:space="0"/>
            </w:tcBorders>
          </w:tcPr>
          <w:p w14:paraId="0C54DBEA">
            <w:pPr>
              <w:spacing w:line="240" w:lineRule="auto"/>
              <w:ind w:firstLine="0"/>
              <w:rPr>
                <w:rFonts w:cs="Arial" w:eastAsiaTheme="minorEastAsia"/>
                <w:sz w:val="22"/>
                <w:lang w:val="ro-RO"/>
              </w:rPr>
            </w:pPr>
            <w:r>
              <w:rPr>
                <w:rFonts w:cs="Arial" w:eastAsiaTheme="minorEastAsia"/>
                <w:sz w:val="22"/>
                <w:lang w:val="ro-RO"/>
              </w:rPr>
              <w:t>3598</w:t>
            </w:r>
          </w:p>
        </w:tc>
        <w:tc>
          <w:tcPr>
            <w:tcW w:w="748" w:type="dxa"/>
            <w:tcBorders>
              <w:top w:val="single" w:color="auto" w:sz="4" w:space="0"/>
              <w:left w:val="single" w:color="auto" w:sz="4" w:space="0"/>
              <w:bottom w:val="single" w:color="auto" w:sz="4" w:space="0"/>
              <w:right w:val="single" w:color="auto" w:sz="4" w:space="0"/>
            </w:tcBorders>
          </w:tcPr>
          <w:p w14:paraId="2E854E9D">
            <w:pPr>
              <w:spacing w:line="240" w:lineRule="auto"/>
              <w:ind w:firstLine="0"/>
              <w:rPr>
                <w:rFonts w:cs="Arial" w:eastAsiaTheme="minorEastAsia"/>
                <w:sz w:val="22"/>
                <w:lang w:val="ro-RO"/>
              </w:rPr>
            </w:pPr>
            <w:r>
              <w:rPr>
                <w:rFonts w:cs="Arial" w:eastAsiaTheme="minorEastAsia"/>
                <w:sz w:val="22"/>
                <w:lang w:val="ro-RO"/>
              </w:rPr>
              <w:t>1.031</w:t>
            </w:r>
          </w:p>
        </w:tc>
        <w:tc>
          <w:tcPr>
            <w:tcW w:w="714" w:type="dxa"/>
            <w:tcBorders>
              <w:top w:val="single" w:color="auto" w:sz="4" w:space="0"/>
              <w:left w:val="single" w:color="auto" w:sz="4" w:space="0"/>
              <w:bottom w:val="single" w:color="auto" w:sz="4" w:space="0"/>
              <w:right w:val="single" w:color="auto" w:sz="4" w:space="0"/>
            </w:tcBorders>
          </w:tcPr>
          <w:p w14:paraId="4B25B620">
            <w:pPr>
              <w:spacing w:line="240" w:lineRule="auto"/>
              <w:ind w:firstLine="0"/>
              <w:rPr>
                <w:rFonts w:cs="Arial" w:eastAsiaTheme="minorEastAsia"/>
                <w:sz w:val="22"/>
                <w:lang w:val="ro-RO"/>
              </w:rPr>
            </w:pPr>
            <w:r>
              <w:rPr>
                <w:rFonts w:cs="Arial" w:eastAsiaTheme="minorEastAsia"/>
                <w:sz w:val="22"/>
                <w:lang w:val="ro-RO"/>
              </w:rPr>
              <w:t>374</w:t>
            </w:r>
          </w:p>
        </w:tc>
        <w:tc>
          <w:tcPr>
            <w:tcW w:w="714" w:type="dxa"/>
            <w:tcBorders>
              <w:top w:val="single" w:color="auto" w:sz="4" w:space="0"/>
              <w:left w:val="single" w:color="auto" w:sz="4" w:space="0"/>
              <w:bottom w:val="single" w:color="auto" w:sz="4" w:space="0"/>
              <w:right w:val="single" w:color="auto" w:sz="4" w:space="0"/>
            </w:tcBorders>
          </w:tcPr>
          <w:p w14:paraId="00C8C258">
            <w:pPr>
              <w:spacing w:line="240" w:lineRule="auto"/>
              <w:ind w:firstLine="0"/>
              <w:rPr>
                <w:rFonts w:cs="Arial" w:eastAsiaTheme="minorEastAsia"/>
                <w:sz w:val="22"/>
                <w:lang w:val="ro-RO"/>
              </w:rPr>
            </w:pPr>
            <w:r>
              <w:rPr>
                <w:rFonts w:cs="Arial" w:eastAsiaTheme="minorEastAsia"/>
                <w:sz w:val="22"/>
                <w:lang w:val="ro-RO"/>
              </w:rPr>
              <w:t>891</w:t>
            </w:r>
          </w:p>
        </w:tc>
        <w:tc>
          <w:tcPr>
            <w:tcW w:w="714" w:type="dxa"/>
            <w:tcBorders>
              <w:top w:val="single" w:color="auto" w:sz="4" w:space="0"/>
              <w:left w:val="single" w:color="auto" w:sz="4" w:space="0"/>
              <w:bottom w:val="single" w:color="auto" w:sz="4" w:space="0"/>
              <w:right w:val="single" w:color="auto" w:sz="4" w:space="0"/>
            </w:tcBorders>
          </w:tcPr>
          <w:p w14:paraId="30D45FD8">
            <w:pPr>
              <w:spacing w:line="240" w:lineRule="auto"/>
              <w:ind w:firstLine="0"/>
              <w:rPr>
                <w:rFonts w:cs="Arial" w:eastAsiaTheme="minorEastAsia"/>
                <w:sz w:val="22"/>
                <w:lang w:val="ro-RO"/>
              </w:rPr>
            </w:pPr>
            <w:r>
              <w:rPr>
                <w:rFonts w:cs="Arial" w:eastAsiaTheme="minorEastAsia"/>
                <w:sz w:val="22"/>
                <w:lang w:val="ro-RO"/>
              </w:rPr>
              <w:t>1576</w:t>
            </w:r>
          </w:p>
        </w:tc>
        <w:tc>
          <w:tcPr>
            <w:tcW w:w="714" w:type="dxa"/>
            <w:tcBorders>
              <w:top w:val="single" w:color="auto" w:sz="4" w:space="0"/>
              <w:left w:val="single" w:color="auto" w:sz="4" w:space="0"/>
              <w:bottom w:val="single" w:color="auto" w:sz="4" w:space="0"/>
              <w:right w:val="single" w:color="auto" w:sz="4" w:space="0"/>
            </w:tcBorders>
          </w:tcPr>
          <w:p w14:paraId="5E6DABF2">
            <w:pPr>
              <w:spacing w:line="240" w:lineRule="auto"/>
              <w:ind w:firstLine="0"/>
              <w:rPr>
                <w:rFonts w:cs="Arial" w:eastAsiaTheme="minorEastAsia"/>
                <w:sz w:val="22"/>
                <w:lang w:val="ro-RO"/>
              </w:rPr>
            </w:pPr>
            <w:r>
              <w:rPr>
                <w:rFonts w:cs="Arial" w:eastAsiaTheme="minorEastAsia"/>
                <w:sz w:val="22"/>
                <w:lang w:val="ro-RO"/>
              </w:rPr>
              <w:t>1604</w:t>
            </w:r>
          </w:p>
        </w:tc>
        <w:tc>
          <w:tcPr>
            <w:tcW w:w="714" w:type="dxa"/>
            <w:tcBorders>
              <w:top w:val="single" w:color="auto" w:sz="4" w:space="0"/>
              <w:left w:val="single" w:color="auto" w:sz="4" w:space="0"/>
              <w:bottom w:val="single" w:color="auto" w:sz="4" w:space="0"/>
              <w:right w:val="single" w:color="auto" w:sz="4" w:space="0"/>
            </w:tcBorders>
          </w:tcPr>
          <w:p w14:paraId="306A5D63">
            <w:pPr>
              <w:spacing w:line="240" w:lineRule="auto"/>
              <w:ind w:firstLine="0"/>
              <w:rPr>
                <w:rFonts w:cs="Arial" w:eastAsiaTheme="minorEastAsia"/>
                <w:sz w:val="22"/>
                <w:lang w:val="ro-RO"/>
              </w:rPr>
            </w:pPr>
            <w:r>
              <w:rPr>
                <w:rFonts w:cs="Arial" w:eastAsiaTheme="minorEastAsia"/>
                <w:sz w:val="22"/>
                <w:lang w:val="ro-RO"/>
              </w:rPr>
              <w:t>937</w:t>
            </w:r>
          </w:p>
        </w:tc>
        <w:tc>
          <w:tcPr>
            <w:tcW w:w="714" w:type="dxa"/>
            <w:tcBorders>
              <w:top w:val="single" w:color="auto" w:sz="4" w:space="0"/>
              <w:left w:val="single" w:color="auto" w:sz="4" w:space="0"/>
              <w:bottom w:val="single" w:color="auto" w:sz="4" w:space="0"/>
              <w:right w:val="single" w:color="auto" w:sz="4" w:space="0"/>
            </w:tcBorders>
          </w:tcPr>
          <w:p w14:paraId="7B8D617F">
            <w:pPr>
              <w:spacing w:line="240" w:lineRule="auto"/>
              <w:ind w:firstLine="0"/>
              <w:rPr>
                <w:rFonts w:cs="Arial" w:eastAsiaTheme="minorEastAsia"/>
                <w:sz w:val="22"/>
                <w:lang w:val="ro-RO"/>
              </w:rPr>
            </w:pPr>
            <w:r>
              <w:rPr>
                <w:rFonts w:cs="Arial" w:eastAsiaTheme="minorEastAsia"/>
                <w:sz w:val="22"/>
                <w:lang w:val="ro-RO"/>
              </w:rPr>
              <w:t>557</w:t>
            </w:r>
          </w:p>
        </w:tc>
        <w:tc>
          <w:tcPr>
            <w:tcW w:w="714" w:type="dxa"/>
            <w:tcBorders>
              <w:top w:val="single" w:color="auto" w:sz="4" w:space="0"/>
              <w:left w:val="single" w:color="auto" w:sz="4" w:space="0"/>
              <w:bottom w:val="single" w:color="auto" w:sz="4" w:space="0"/>
              <w:right w:val="single" w:color="auto" w:sz="4" w:space="0"/>
            </w:tcBorders>
          </w:tcPr>
          <w:p w14:paraId="79E250BA">
            <w:pPr>
              <w:spacing w:line="240" w:lineRule="auto"/>
              <w:ind w:firstLine="0"/>
              <w:rPr>
                <w:rFonts w:cs="Arial" w:eastAsiaTheme="minorEastAsia"/>
                <w:sz w:val="22"/>
                <w:lang w:val="ro-RO"/>
              </w:rPr>
            </w:pPr>
            <w:r>
              <w:rPr>
                <w:rFonts w:cs="Arial" w:eastAsiaTheme="minorEastAsia"/>
                <w:sz w:val="22"/>
                <w:lang w:val="ro-RO"/>
              </w:rPr>
              <w:t>332</w:t>
            </w:r>
          </w:p>
        </w:tc>
        <w:tc>
          <w:tcPr>
            <w:tcW w:w="941" w:type="dxa"/>
            <w:tcBorders>
              <w:top w:val="single" w:color="auto" w:sz="4" w:space="0"/>
              <w:left w:val="single" w:color="auto" w:sz="4" w:space="0"/>
              <w:bottom w:val="single" w:color="auto" w:sz="4" w:space="0"/>
              <w:right w:val="single" w:color="auto" w:sz="4" w:space="0"/>
            </w:tcBorders>
          </w:tcPr>
          <w:p w14:paraId="7A3FD8B1">
            <w:pPr>
              <w:spacing w:line="240" w:lineRule="auto"/>
              <w:ind w:firstLine="0"/>
              <w:rPr>
                <w:rFonts w:cs="Arial" w:eastAsiaTheme="minorEastAsia"/>
                <w:sz w:val="22"/>
                <w:lang w:val="ro-RO"/>
              </w:rPr>
            </w:pPr>
            <w:r>
              <w:rPr>
                <w:rFonts w:cs="Arial" w:eastAsiaTheme="minorEastAsia"/>
                <w:sz w:val="22"/>
                <w:lang w:val="ro-RO"/>
              </w:rPr>
              <w:t>245.368</w:t>
            </w:r>
          </w:p>
        </w:tc>
        <w:tc>
          <w:tcPr>
            <w:tcW w:w="830" w:type="dxa"/>
            <w:tcBorders>
              <w:top w:val="single" w:color="auto" w:sz="4" w:space="0"/>
              <w:left w:val="single" w:color="auto" w:sz="4" w:space="0"/>
              <w:bottom w:val="single" w:color="auto" w:sz="4" w:space="0"/>
              <w:right w:val="single" w:color="auto" w:sz="4" w:space="0"/>
            </w:tcBorders>
          </w:tcPr>
          <w:p w14:paraId="7E68F881">
            <w:pPr>
              <w:spacing w:line="240" w:lineRule="auto"/>
              <w:ind w:firstLine="0"/>
              <w:rPr>
                <w:rFonts w:cs="Arial" w:eastAsiaTheme="minorEastAsia"/>
                <w:sz w:val="22"/>
                <w:lang w:val="ro-RO"/>
              </w:rPr>
            </w:pPr>
            <w:r>
              <w:rPr>
                <w:rFonts w:cs="Arial" w:eastAsiaTheme="minorEastAsia"/>
                <w:sz w:val="22"/>
                <w:lang w:val="ro-RO"/>
              </w:rPr>
              <w:t>21.177</w:t>
            </w:r>
          </w:p>
        </w:tc>
        <w:tc>
          <w:tcPr>
            <w:tcW w:w="830" w:type="dxa"/>
            <w:tcBorders>
              <w:top w:val="single" w:color="auto" w:sz="4" w:space="0"/>
              <w:left w:val="single" w:color="auto" w:sz="4" w:space="0"/>
              <w:bottom w:val="single" w:color="auto" w:sz="4" w:space="0"/>
              <w:right w:val="single" w:color="auto" w:sz="4" w:space="0"/>
            </w:tcBorders>
          </w:tcPr>
          <w:p w14:paraId="1C1276F5">
            <w:pPr>
              <w:spacing w:line="240" w:lineRule="auto"/>
              <w:ind w:firstLine="0"/>
              <w:rPr>
                <w:rFonts w:cs="Arial" w:eastAsiaTheme="minorEastAsia"/>
                <w:sz w:val="22"/>
                <w:lang w:val="ro-RO"/>
              </w:rPr>
            </w:pPr>
            <w:r>
              <w:rPr>
                <w:rFonts w:cs="Arial" w:eastAsiaTheme="minorEastAsia"/>
                <w:sz w:val="22"/>
                <w:lang w:val="ro-RO"/>
              </w:rPr>
              <w:t>26.255</w:t>
            </w:r>
          </w:p>
        </w:tc>
      </w:tr>
    </w:tbl>
    <w:p w14:paraId="5CB6A57D">
      <w:pPr>
        <w:jc w:val="center"/>
        <w:rPr>
          <w:rFonts w:cs="Arial"/>
          <w:i/>
          <w:iCs/>
          <w:sz w:val="22"/>
          <w:lang w:val="ro-RO"/>
        </w:rPr>
      </w:pPr>
      <w:r>
        <w:rPr>
          <w:rFonts w:cs="Arial"/>
          <w:i/>
          <w:iCs/>
          <w:sz w:val="22"/>
          <w:lang w:val="ro-RO"/>
        </w:rPr>
        <w:t>Sursa: PUG, 2023</w:t>
      </w:r>
    </w:p>
    <w:p w14:paraId="1FB42B07">
      <w:pPr>
        <w:rPr>
          <w:rFonts w:cs="Arial"/>
          <w:sz w:val="22"/>
          <w:lang w:val="ro-RO"/>
        </w:rPr>
      </w:pPr>
    </w:p>
    <w:p w14:paraId="70E6A1D0">
      <w:pPr>
        <w:pStyle w:val="4"/>
        <w:numPr>
          <w:ilvl w:val="2"/>
          <w:numId w:val="8"/>
        </w:numPr>
        <w:rPr>
          <w:rFonts w:cs="Arial"/>
          <w:sz w:val="22"/>
          <w:szCs w:val="22"/>
          <w:lang w:val="ro-RO"/>
        </w:rPr>
      </w:pPr>
      <w:bookmarkStart w:id="24" w:name="_Toc201926309"/>
      <w:r>
        <w:rPr>
          <w:rFonts w:cs="Arial"/>
          <w:sz w:val="22"/>
          <w:szCs w:val="22"/>
          <w:lang w:val="ro-RO"/>
        </w:rPr>
        <w:t>Pomicultura</w:t>
      </w:r>
      <w:bookmarkEnd w:id="24"/>
    </w:p>
    <w:p w14:paraId="43E5D805">
      <w:pPr>
        <w:rPr>
          <w:rFonts w:cs="Arial"/>
          <w:sz w:val="22"/>
          <w:highlight w:val="yellow"/>
          <w:lang w:val="ro-RO"/>
        </w:rPr>
      </w:pPr>
      <w:r>
        <w:rPr>
          <w:rFonts w:cs="Arial"/>
          <w:sz w:val="22"/>
          <w:lang w:val="ro-RO"/>
        </w:rPr>
        <w:t>Pomicultura ocupă un loc important în economia agricolă a comunei Șimian, beneficiind de condiții naturale favorabile pentru creșterea diverselor specii de pomi fructiferi. În localitate se cultivă cu succes prunul, piersicul, cireșul, caisul, vișinul, mărul (atât soiuri termofile, cât și criofile) și nucul, aceste specii fiind adaptate atât microclimatului local, cât și solurilor fertile din zonă. Gospodăriile individuale dețin o pondere semnificativă din suprafața totală de livezi, contribuind astfel la producția de fructe a comunei și la diversificarea surselor de venit pentru populație. Dezvoltarea pomiculturii susține nu doar autoconsumul, ci și valorificarea fructelor pe piața locală și regională, având potențial pentru extinderea activităților de procesare și comercializare a produselor pomicole.</w:t>
      </w:r>
    </w:p>
    <w:p w14:paraId="4CC8FDF3">
      <w:pPr>
        <w:pStyle w:val="4"/>
        <w:numPr>
          <w:ilvl w:val="2"/>
          <w:numId w:val="8"/>
        </w:numPr>
        <w:rPr>
          <w:rFonts w:cs="Arial"/>
          <w:sz w:val="22"/>
          <w:szCs w:val="22"/>
          <w:lang w:val="ro-RO"/>
        </w:rPr>
      </w:pPr>
      <w:bookmarkStart w:id="25" w:name="_Toc201926310"/>
      <w:r>
        <w:rPr>
          <w:rFonts w:cs="Arial"/>
          <w:sz w:val="22"/>
          <w:szCs w:val="22"/>
          <w:lang w:val="ro-RO"/>
        </w:rPr>
        <w:t>Viticultura</w:t>
      </w:r>
      <w:bookmarkEnd w:id="25"/>
      <w:r>
        <w:rPr>
          <w:rFonts w:cs="Arial"/>
          <w:sz w:val="22"/>
          <w:szCs w:val="22"/>
          <w:lang w:val="ro-RO"/>
        </w:rPr>
        <w:t xml:space="preserve"> </w:t>
      </w:r>
    </w:p>
    <w:p w14:paraId="74EF81DC">
      <w:pPr>
        <w:rPr>
          <w:rFonts w:cs="Arial"/>
          <w:sz w:val="22"/>
          <w:highlight w:val="yellow"/>
          <w:lang w:val="ro-RO"/>
        </w:rPr>
      </w:pPr>
      <w:r>
        <w:rPr>
          <w:rFonts w:cs="Arial"/>
          <w:sz w:val="22"/>
          <w:lang w:val="ro-RO"/>
        </w:rPr>
        <w:t>Viticultura are o tradiție îndelungată în județul Mehedinți, fiind susținută de condițiile pedoclimatice favorabile ale zonei, specifice arealului viticol „Mehedinți”. Solurile brun-roșcate și cernoziomurile levigate, bogate în oxizi de fier, alături de expunerea sudică a plantațiilor și resursele heliotermice ridicate, creează un mediu ideal pentru cultivarea viței de vie. În județ se cultivă atât soiuri albe, precum Tămâioasă Românească, Muscat Ottonel, Sauvignon și Chardonnay, cât și soiuri roșii de prestigiu, precum Cabernet Sauvignon, Merlot, Fetească Neagră și Pinot Noir, obținându-se vinuri corpolente, bogate în extract și cu potențial de învechire, recunoscute sub denumirea de origine controlată „Mehedinți”. Viticultura locală contribuie la diversificarea economiei rurale, oferind oportunități pentru valorificarea strugurilor atât pe piața locală, cât și în sectorul vinificației, cu potențial de dezvoltare a turismului viticol și de promovare a produselor tradiționale din zonă.</w:t>
      </w:r>
    </w:p>
    <w:p w14:paraId="55C335CF">
      <w:pPr>
        <w:pStyle w:val="4"/>
        <w:numPr>
          <w:ilvl w:val="2"/>
          <w:numId w:val="8"/>
        </w:numPr>
        <w:rPr>
          <w:rFonts w:cs="Arial"/>
          <w:sz w:val="22"/>
          <w:szCs w:val="22"/>
          <w:lang w:val="ro-RO"/>
        </w:rPr>
      </w:pPr>
      <w:bookmarkStart w:id="26" w:name="_Toc201926311"/>
      <w:r>
        <w:rPr>
          <w:rFonts w:cs="Arial"/>
          <w:sz w:val="22"/>
          <w:szCs w:val="22"/>
          <w:lang w:val="ro-RO"/>
        </w:rPr>
        <w:t>Legumicultura</w:t>
      </w:r>
      <w:bookmarkEnd w:id="26"/>
      <w:r>
        <w:rPr>
          <w:rFonts w:cs="Arial"/>
          <w:sz w:val="22"/>
          <w:szCs w:val="22"/>
          <w:lang w:val="ro-RO"/>
        </w:rPr>
        <w:t xml:space="preserve"> </w:t>
      </w:r>
    </w:p>
    <w:p w14:paraId="6830C1E1">
      <w:pPr>
        <w:rPr>
          <w:rFonts w:cs="Arial"/>
          <w:sz w:val="22"/>
          <w:highlight w:val="yellow"/>
          <w:lang w:val="ro-RO"/>
        </w:rPr>
      </w:pPr>
      <w:r>
        <w:rPr>
          <w:rFonts w:cs="Arial"/>
          <w:sz w:val="22"/>
          <w:lang w:val="ro-RO"/>
        </w:rPr>
        <w:t>Legumicultura reprezintă una dintre principalele ramuri ale agriculturii din comuna Șimian, fiind bine reprezentată în special în satul Cerneți, recunoscut drept „satul legumelor și al florilor” și unul dintre cele mai importante bazine legumicole din județul Mehedinți. Pe terenurile fertilizate de aluviunile Dunării, localnicii cultivă o gamă variată de legume, printre care castraveți, roșii, ardei, ceapă și ridichi, acestea fiind comercializate atât pe piața locală, unde are loc singurul târg autorizat sanitar-veterinar din județ, cât și în zonele învecinate. Activitatea legumicolă contribuie semnificativ la veniturile gospodăriilor mici și mijlocii, susține diversificarea economiei rurale și oferă oportunități pentru valorificarea produselor proaspete, inclusiv prin promovarea agriculturii ecologice și a producătorilor locali</w:t>
      </w:r>
    </w:p>
    <w:p w14:paraId="7DF97DF1">
      <w:pPr>
        <w:pStyle w:val="4"/>
        <w:numPr>
          <w:ilvl w:val="2"/>
          <w:numId w:val="8"/>
        </w:numPr>
        <w:rPr>
          <w:rFonts w:cs="Arial"/>
          <w:sz w:val="22"/>
          <w:szCs w:val="22"/>
          <w:lang w:val="ro-RO"/>
        </w:rPr>
      </w:pPr>
      <w:bookmarkStart w:id="27" w:name="_Toc201926312"/>
      <w:r>
        <w:rPr>
          <w:rFonts w:cs="Arial"/>
          <w:sz w:val="22"/>
          <w:szCs w:val="22"/>
          <w:lang w:val="ro-RO"/>
        </w:rPr>
        <w:t>Silvicultura</w:t>
      </w:r>
      <w:bookmarkEnd w:id="27"/>
      <w:r>
        <w:rPr>
          <w:rFonts w:cs="Arial"/>
          <w:sz w:val="22"/>
          <w:szCs w:val="22"/>
          <w:lang w:val="ro-RO"/>
        </w:rPr>
        <w:t xml:space="preserve"> </w:t>
      </w:r>
    </w:p>
    <w:p w14:paraId="107E19F9">
      <w:pPr>
        <w:rPr>
          <w:rFonts w:cs="Arial"/>
          <w:sz w:val="22"/>
          <w:lang w:val="ro-RO"/>
        </w:rPr>
      </w:pPr>
      <w:r>
        <w:rPr>
          <w:rFonts w:cs="Arial"/>
          <w:sz w:val="22"/>
          <w:lang w:val="ro-RO"/>
        </w:rPr>
        <w:t>Silvicultura reprezintă un sector important în comuna Șimian, gestionată prin Ocolul Silvic Șimian, care administrează o suprafață de aproximativ 8.228 hectare de pădure, situate preponderent în zona de câmpie a localității. Compoziția pădurilor este dominată de salcâm (43%), urmat de cer (17%), gârniță (12%) și gorun (11%), la care se adaugă specii precum teiul, plopul, salcia și alte esențe autohtone. Activitatea silvică include atât gestionarea durabilă a fondului forestier, cât și producția de material săditor prin pepiniera silvică autorizată din Șimian, care asigură puieți pentru regenerarea pădurilor și pentru campaniile de împădurire la nivel local și regional. Pădurile din Șimian au un rol esențial în protecția mediului, reducerea riscului de eroziune și alunecări de teren, menținerea biodiversității și asigurarea resurselor de lemn pentru populație și economie, inclusiv lemn de foc pentru gospodării. Gestionarea responsabilă a resurselor forestiere susține echilibrul ecologic al zonei și contribuie la dezvoltarea durabilă a comunei.</w:t>
      </w:r>
    </w:p>
    <w:p w14:paraId="5F6E89D1">
      <w:pPr>
        <w:rPr>
          <w:rFonts w:cs="Arial"/>
          <w:sz w:val="22"/>
          <w:lang w:val="ro-RO"/>
        </w:rPr>
      </w:pPr>
    </w:p>
    <w:p w14:paraId="7B836B75">
      <w:pPr>
        <w:pStyle w:val="3"/>
        <w:numPr>
          <w:ilvl w:val="1"/>
          <w:numId w:val="8"/>
        </w:numPr>
        <w:rPr>
          <w:rFonts w:cs="Arial"/>
          <w:sz w:val="22"/>
          <w:szCs w:val="22"/>
          <w:lang w:val="ro-RO"/>
        </w:rPr>
      </w:pPr>
      <w:bookmarkStart w:id="28" w:name="_Toc201926313"/>
      <w:r>
        <w:rPr>
          <w:rFonts w:cs="Arial"/>
          <w:sz w:val="22"/>
          <w:szCs w:val="22"/>
          <w:lang w:val="ro-RO"/>
        </w:rPr>
        <w:t>INFRASTRUCTURĂ, TRANSPORT ȘI MEDIU</w:t>
      </w:r>
      <w:bookmarkEnd w:id="28"/>
    </w:p>
    <w:p w14:paraId="7BBE611C">
      <w:pPr>
        <w:pStyle w:val="4"/>
        <w:numPr>
          <w:ilvl w:val="2"/>
          <w:numId w:val="8"/>
        </w:numPr>
        <w:rPr>
          <w:rFonts w:cs="Arial"/>
          <w:sz w:val="22"/>
          <w:szCs w:val="22"/>
          <w:lang w:val="ro-RO"/>
        </w:rPr>
      </w:pPr>
      <w:bookmarkStart w:id="29" w:name="_Toc201926314"/>
      <w:r>
        <w:rPr>
          <w:rFonts w:cs="Arial"/>
          <w:sz w:val="22"/>
          <w:szCs w:val="22"/>
          <w:lang w:val="ro-RO"/>
        </w:rPr>
        <w:t>Infrastructura de comunicaţii şi transport</w:t>
      </w:r>
      <w:bookmarkEnd w:id="29"/>
      <w:r>
        <w:rPr>
          <w:rFonts w:cs="Arial"/>
          <w:sz w:val="22"/>
          <w:szCs w:val="22"/>
          <w:lang w:val="ro-RO"/>
        </w:rPr>
        <w:t xml:space="preserve"> </w:t>
      </w:r>
    </w:p>
    <w:p w14:paraId="49403363">
      <w:pPr>
        <w:rPr>
          <w:rFonts w:cs="Arial"/>
          <w:b/>
          <w:bCs/>
          <w:sz w:val="22"/>
          <w:lang w:val="ro-RO"/>
        </w:rPr>
      </w:pPr>
      <w:r>
        <w:rPr>
          <w:rFonts w:cs="Arial"/>
          <w:b/>
          <w:bCs/>
          <w:sz w:val="22"/>
          <w:lang w:val="ro-RO"/>
        </w:rPr>
        <w:t>Infrastructura rutieră</w:t>
      </w:r>
    </w:p>
    <w:p w14:paraId="627C5C10">
      <w:pPr>
        <w:rPr>
          <w:rFonts w:cs="Arial"/>
          <w:sz w:val="22"/>
          <w:lang w:val="ro-RO"/>
        </w:rPr>
      </w:pPr>
      <w:bookmarkStart w:id="30" w:name="OLE_LINK16"/>
      <w:r>
        <w:rPr>
          <w:rFonts w:cs="Arial"/>
          <w:sz w:val="22"/>
          <w:lang w:val="ro-RO"/>
        </w:rPr>
        <w:t>Localitatea Șimian beneficiază de o poziționare strategică la intersecția unor axe rutiere majore, ceea ce îi conferă un potențial semnificativ pentru dezvoltarea economică și socială. Drumul național DN6 București–Timișoara traversează comuna și se intersectează cu DN56A Drobeta Turnu Severin–Calafat, precum și cu drumul comunal DC21 Șimian–Valea Copcii. DN6 și DN56A sunt drumuri modernizate la standarde corespunzătoare, cu o singură bandă pe sens, însă lățimea de aproximativ 22 de metri între fronturile construite permite, dacă va fi necesar în viitor, extinderea la patru benzi fără a afecta clădirile existente. Drumul comunal DC21, care asigură legătura între Șimian și Valea Copcii, este de asemenea modernizat, facilitând accesul către zonele agricole și către satele componente.</w:t>
      </w:r>
    </w:p>
    <w:p w14:paraId="57E4AD60">
      <w:pPr>
        <w:rPr>
          <w:rFonts w:cs="Arial"/>
          <w:sz w:val="22"/>
          <w:lang w:val="ro-RO"/>
        </w:rPr>
      </w:pPr>
      <w:r>
        <w:rPr>
          <w:rFonts w:cs="Arial"/>
          <w:sz w:val="22"/>
          <w:lang w:val="ro-RO"/>
        </w:rPr>
        <w:t>Legăturile rutiere între Șimian și celelalte localități din teritoriu se realizează prin rețeaua de drumuri naționale și comunale, asigurând conectivitatea atât cu municipiul Drobeta Turnu Severin, cât și cu localitățile învecinate. Satul Cerneți este situat pe DJ 607A Drobeta Turnu Severin–Cerneți–Hușnicioara, un drum județean modernizat care se intersectează cu DC21 (Cerneți–Cula lui Tudor). Totuși, drumul comunal DC23, care leagă Șimian, Cerneți și Cula lui Tudor, nu este modernizat, iar străzile din interiorul satului Cerneți sunt nemodernizate și se află într-o stare precară, ceea ce îngreunează circulația, mai ales în perioadele cu precipitații abundente.</w:t>
      </w:r>
    </w:p>
    <w:p w14:paraId="7ADC145D">
      <w:pPr>
        <w:rPr>
          <w:rFonts w:cs="Arial"/>
          <w:sz w:val="22"/>
          <w:lang w:val="ro-RO"/>
        </w:rPr>
      </w:pPr>
      <w:r>
        <w:rPr>
          <w:rFonts w:cs="Arial"/>
          <w:sz w:val="22"/>
          <w:lang w:val="ro-RO"/>
        </w:rPr>
        <w:t>Localitățile Dubovița Veche și Poroina sunt amplasate pe drumul comunal DC21A, care nu este modernizat și are o suprastructură din balast, iar străzile din aceste sate sunt din pământ, devenind adesea impracticabile în timpul ploilor. Starea generală a drumurilor din interiorul acestor localități impune necesitatea unor investiții urgente în modernizare și reabilitare, atât pentru arterele principale de interes local, cât și pentru drumurile de exploatare agricolă, esențiale pentru accesul la terenurile agricole și pentru transportul produselor.</w:t>
      </w:r>
    </w:p>
    <w:p w14:paraId="6806217A">
      <w:pPr>
        <w:rPr>
          <w:rFonts w:cs="Arial"/>
          <w:sz w:val="22"/>
          <w:lang w:val="ro-RO"/>
        </w:rPr>
      </w:pPr>
      <w:r>
        <w:rPr>
          <w:rFonts w:cs="Arial"/>
          <w:sz w:val="22"/>
          <w:lang w:val="ro-RO"/>
        </w:rPr>
        <w:t>Satul Dudașu se află pe DN67 Drobeta Turnu Severin–Târgu Jiu, un drum național modernizat, și pe DC11, asigurând legături rapide cu principalele centre urbane. Dedovița Nouă este situată pe DC21, modernizat, care se intersectează cu DC23, facilitând accesul spre Cerneți și alte localități. Valea Copcii este amplasată în partea de sud a DJ 607A, în apropierea intersecției cu alte rute locale, însă accesul este afectat de starea precară a unor drumuri secundare.</w:t>
      </w:r>
    </w:p>
    <w:p w14:paraId="575077B8">
      <w:pPr>
        <w:rPr>
          <w:rFonts w:cs="Arial"/>
          <w:sz w:val="22"/>
          <w:lang w:val="ro-RO"/>
        </w:rPr>
      </w:pPr>
      <w:r>
        <w:rPr>
          <w:rFonts w:cs="Arial"/>
          <w:sz w:val="22"/>
          <w:lang w:val="ro-RO"/>
        </w:rPr>
        <w:t>Modernizarea și reabilitarea drumurilor de interes local și a celor de exploatare reprezintă o prioritate strategică pentru administrația locală a comunei Șimian, contribuind la îmbunătățirea accesibilității, creșterea atractivității pentru investitori, facilitarea transportului de mărfuri și persoane, precum și la creșterea calității vieții pentru toți locuitorii comunei. Investițiile în infrastructura rutieră vor stimula dezvoltarea economică, vor sprijini mobilitatea forței de muncă și vor asigura premisele pentru dezvoltarea durabilă a comunității pe termen lung.</w:t>
      </w:r>
    </w:p>
    <w:bookmarkEnd w:id="30"/>
    <w:p w14:paraId="5082CE20">
      <w:pPr>
        <w:ind w:firstLine="0"/>
        <w:rPr>
          <w:rFonts w:cs="Arial"/>
          <w:sz w:val="22"/>
          <w:lang w:val="ro-RO"/>
        </w:rPr>
      </w:pPr>
    </w:p>
    <w:p w14:paraId="726224F6">
      <w:pPr>
        <w:rPr>
          <w:rFonts w:cs="Arial"/>
          <w:b/>
          <w:bCs/>
          <w:sz w:val="22"/>
          <w:lang w:val="ro-RO"/>
        </w:rPr>
      </w:pPr>
      <w:bookmarkStart w:id="31" w:name="OLE_LINK18"/>
      <w:r>
        <w:rPr>
          <w:rFonts w:cs="Arial"/>
          <w:b/>
          <w:bCs/>
          <w:sz w:val="22"/>
          <w:lang w:val="ro-RO"/>
        </w:rPr>
        <w:t>Circulația feroviară</w:t>
      </w:r>
    </w:p>
    <w:bookmarkEnd w:id="31"/>
    <w:p w14:paraId="5C877E66">
      <w:pPr>
        <w:rPr>
          <w:rFonts w:cs="Arial"/>
          <w:sz w:val="22"/>
          <w:lang w:val="ro-RO"/>
        </w:rPr>
      </w:pPr>
      <w:bookmarkStart w:id="32" w:name="OLE_LINK17"/>
      <w:r>
        <w:rPr>
          <w:rFonts w:cs="Arial"/>
          <w:sz w:val="22"/>
          <w:lang w:val="ro-RO"/>
        </w:rPr>
        <w:t>Circulația feroviară în comuna Șimian se desfășoară pe calea ferată CF1 București–Timișoara, o linie complet electrificată, cu linie simplă pe teritoriul localității. În intravilanul comunei se află gara de mărfuri Șimian, care joacă un rol logistic important, deservind atât comuna, cât și municipiul Drobeta Turnu Severin. Din această gară pornesc racorduri feroviare către depozitele de lignit din Valea Copcii, CET Halânga și Uzina Romag, prin stația de triaj din zona Cerneți.</w:t>
      </w:r>
    </w:p>
    <w:p w14:paraId="225BC9EB">
      <w:pPr>
        <w:rPr>
          <w:rFonts w:cs="Arial"/>
          <w:sz w:val="22"/>
          <w:lang w:val="ro-RO"/>
        </w:rPr>
      </w:pPr>
      <w:r>
        <w:rPr>
          <w:rFonts w:cs="Arial"/>
          <w:sz w:val="22"/>
          <w:lang w:val="ro-RO"/>
        </w:rPr>
        <w:t>În ceea ce privește serviciile de călători, CFR Călători menține zilnic în circulație aproximativ 1.100 de trenuri la nivel național, însă peste 15% dintre acestea înregistrează întârzieri la destinație, principalele cauze fiind deranjamentele la infrastructură și lipsa materialului rulant modern. Pe relația București–Craiova–Timișoara, pe care se află și Șimian, durata de parcurs a unui tren Regio poate depăși 7 ore pentru 200 de kilometri, din cauza restricțiilor de viteză și a stării liniei.</w:t>
      </w:r>
    </w:p>
    <w:p w14:paraId="365E086D">
      <w:pPr>
        <w:rPr>
          <w:rFonts w:cs="Arial"/>
          <w:sz w:val="22"/>
          <w:lang w:val="ro-RO"/>
        </w:rPr>
      </w:pPr>
      <w:r>
        <w:rPr>
          <w:rFonts w:cs="Arial"/>
          <w:sz w:val="22"/>
          <w:lang w:val="ro-RO"/>
        </w:rPr>
        <w:t>Totuși, există perspective de îmbunătățire: pentru 2025, sunt planificate investiții majore în reabilitarea și modernizarea a peste 1.200 km de cale ferată, inclusiv pe tronsonul Craiova–Drobeta Turnu Severin–Caransebeș, care va avea impact direct asupra circulației în zona Șimian. Aceste lucrări, finanțate din fonduri europene nerambursabile și bugetul Ministerului Transporturilor, vizează creșterea siguranței, reducerea timpilor de parcurs și îmbunătățirea calității serviciilor feroviare pentru pasageri și operatori de marfă.</w:t>
      </w:r>
    </w:p>
    <w:p w14:paraId="01C48A65">
      <w:pPr>
        <w:rPr>
          <w:rFonts w:cs="Arial"/>
          <w:sz w:val="22"/>
          <w:lang w:val="ro-RO"/>
        </w:rPr>
      </w:pPr>
      <w:r>
        <w:rPr>
          <w:rFonts w:cs="Arial"/>
          <w:sz w:val="22"/>
          <w:lang w:val="ro-RO"/>
        </w:rPr>
        <w:t>Circulația feroviară în comuna Șimian rămâne esențială pentru transportul de mărfuri și conexiunile regionale, dar este puternic influențată de starea generală a infrastructurii feroviare din România, de ritmul lent al modernizărilor și de incidentele tehnice recurente. Investițiile aflate în derulare și cele planificate pentru perioada următoare sunt vitale pentru creșterea competitivității transportului feroviar și pentru dezvoltarea durabilă a zonei.</w:t>
      </w:r>
    </w:p>
    <w:bookmarkEnd w:id="32"/>
    <w:p w14:paraId="6BFDF757">
      <w:pPr>
        <w:rPr>
          <w:rFonts w:cs="Arial"/>
          <w:sz w:val="22"/>
          <w:lang w:val="ro-RO"/>
        </w:rPr>
      </w:pPr>
    </w:p>
    <w:p w14:paraId="6282AFD7">
      <w:pPr>
        <w:rPr>
          <w:rFonts w:cs="Arial"/>
          <w:b/>
          <w:bCs/>
          <w:sz w:val="22"/>
          <w:lang w:val="ro-RO"/>
        </w:rPr>
      </w:pPr>
      <w:r>
        <w:rPr>
          <w:rFonts w:cs="Arial"/>
          <w:sz w:val="22"/>
          <w:lang w:val="ro-RO"/>
        </w:rPr>
        <w:t xml:space="preserve"> </w:t>
      </w:r>
      <w:bookmarkStart w:id="33" w:name="OLE_LINK19"/>
      <w:r>
        <w:rPr>
          <w:rFonts w:cs="Arial"/>
          <w:b/>
          <w:bCs/>
          <w:sz w:val="22"/>
          <w:lang w:val="ro-RO"/>
        </w:rPr>
        <w:t>Circulația navală</w:t>
      </w:r>
    </w:p>
    <w:p w14:paraId="185271CA">
      <w:pPr>
        <w:rPr>
          <w:rFonts w:cs="Arial"/>
          <w:sz w:val="22"/>
          <w:lang w:val="ro-RO"/>
        </w:rPr>
      </w:pPr>
      <w:r>
        <w:rPr>
          <w:rFonts w:cs="Arial"/>
          <w:sz w:val="22"/>
          <w:lang w:val="ro-RO"/>
        </w:rPr>
        <w:t>Comuna Șimian, situată pe malul stâng al Dunării, nu dispune în prezent de infrastructură portuară pentru acces la transportul naval de mărfuri și persoane. Această lipsă de facilități portuare limitează potențialul local de a valorifica pe deplin avantajele geografice oferite de poziția sa la marginea unuia dintre cele mai importante coridoare navigabile europene. Circulația navală în zona Șimian se desfășoară în principal prin navele care tranzitează fluviul Dunărea, fără a beneficia de puncte de acostare sau de servicii specifice pentru comunitatea locală.</w:t>
      </w:r>
    </w:p>
    <w:p w14:paraId="2DE42089">
      <w:pPr>
        <w:rPr>
          <w:rFonts w:cs="Arial"/>
          <w:sz w:val="22"/>
          <w:lang w:val="ro-RO"/>
        </w:rPr>
      </w:pPr>
      <w:r>
        <w:rPr>
          <w:rFonts w:cs="Arial"/>
          <w:sz w:val="22"/>
          <w:lang w:val="ro-RO"/>
        </w:rPr>
        <w:t>Din punct de vedere actual, circulația navală pe Dunăre este afectată periodic de factori naturali și antropici. De exemplu, în perioadele cu debite crescute ale fluviului, viteza de circulație a navelor poate fi redusă la maxim 15 km/h, față de viteza normală de 22 km/h, iar navigația poate fi restricționată sau chiar întreruptă temporar, în special pe sectorul Moldova Nouă – Gruia, inclusiv în apropierea Șimianului. Aceste restricții au ca efect întârzieri în transportul de mărfuri și pasageri, afectând și potențialele activități economice locale care ar putea beneficia de acces la transportul naval.</w:t>
      </w:r>
    </w:p>
    <w:p w14:paraId="23C0EC8E">
      <w:pPr>
        <w:rPr>
          <w:rFonts w:cs="Arial"/>
          <w:sz w:val="22"/>
          <w:lang w:val="ro-RO"/>
        </w:rPr>
      </w:pPr>
      <w:r>
        <w:rPr>
          <w:rFonts w:cs="Arial"/>
          <w:sz w:val="22"/>
          <w:lang w:val="ro-RO"/>
        </w:rPr>
        <w:t>Dezvoltarea unui port la Șimian ar putea fi motivată atât de nevoile industriale și de depozitare, cât și de potențialul turistic al Insulei Șimian. Un astfel de proiect ar putea stimula dezvoltarea economică locală, atragerea de investiții și crearea de noi locuri de muncă, precum și valorificarea peisajului natural și a patrimoniului cultural. Amenajarea unui port ar facilita accesul la transportul fluvial, sprijinind atât activitățile economice, cât și turismul, prin organizarea de croaziere, excursii fluviale sau evenimente tematice.</w:t>
      </w:r>
    </w:p>
    <w:p w14:paraId="6FAAF2B7">
      <w:pPr>
        <w:rPr>
          <w:rFonts w:cs="Arial"/>
          <w:sz w:val="22"/>
          <w:lang w:val="ro-RO"/>
        </w:rPr>
      </w:pPr>
      <w:r>
        <w:rPr>
          <w:rFonts w:cs="Arial"/>
          <w:sz w:val="22"/>
          <w:lang w:val="ro-RO"/>
        </w:rPr>
        <w:t>Circulația navală în zona Șimian este în prezent limitată de lipsa infrastructurii portuare, dar are un potențial mare de dezvoltare, mai ales în contextul valorificării turistice a Insulei Șimian și al nevoilor economice locale. Investițiile într-un port ar putea crea premise pentru dezvoltarea durabilă, diversificarea economiei și creșterea atractivității comunei, cu condiția ca aceste proiecte să fie integrate cu măsuri de protecție a mediului și de monitorizare a traficului naval.</w:t>
      </w:r>
    </w:p>
    <w:bookmarkEnd w:id="33"/>
    <w:p w14:paraId="11964F12">
      <w:pPr>
        <w:spacing w:line="276" w:lineRule="auto"/>
        <w:rPr>
          <w:rFonts w:cs="Arial"/>
          <w:sz w:val="22"/>
          <w:lang w:val="ro-RO"/>
        </w:rPr>
      </w:pPr>
    </w:p>
    <w:p w14:paraId="35F62113">
      <w:pPr>
        <w:pStyle w:val="4"/>
        <w:numPr>
          <w:ilvl w:val="2"/>
          <w:numId w:val="8"/>
        </w:numPr>
        <w:spacing w:before="0"/>
        <w:rPr>
          <w:rFonts w:cs="Arial"/>
          <w:sz w:val="22"/>
          <w:szCs w:val="22"/>
          <w:lang w:val="ro-RO"/>
        </w:rPr>
      </w:pPr>
      <w:bookmarkStart w:id="34" w:name="_Toc201926315"/>
      <w:r>
        <w:rPr>
          <w:rFonts w:cs="Arial"/>
          <w:sz w:val="22"/>
          <w:szCs w:val="22"/>
          <w:lang w:val="ro-RO"/>
        </w:rPr>
        <w:t>Infrastructură de utilităţi</w:t>
      </w:r>
      <w:bookmarkEnd w:id="34"/>
      <w:r>
        <w:rPr>
          <w:rFonts w:cs="Arial"/>
          <w:sz w:val="22"/>
          <w:szCs w:val="22"/>
          <w:lang w:val="ro-RO"/>
        </w:rPr>
        <w:t xml:space="preserve"> </w:t>
      </w:r>
    </w:p>
    <w:p w14:paraId="3E5FA181">
      <w:pPr>
        <w:pStyle w:val="5"/>
        <w:numPr>
          <w:ilvl w:val="3"/>
          <w:numId w:val="8"/>
        </w:numPr>
        <w:spacing w:before="0"/>
        <w:rPr>
          <w:rFonts w:ascii="Arial" w:hAnsi="Arial" w:cs="Arial"/>
          <w:i w:val="0"/>
          <w:iCs w:val="0"/>
          <w:sz w:val="22"/>
          <w:lang w:val="ro-RO"/>
        </w:rPr>
      </w:pPr>
      <w:r>
        <w:rPr>
          <w:rFonts w:ascii="Arial" w:hAnsi="Arial" w:cs="Arial"/>
          <w:i w:val="0"/>
          <w:iCs w:val="0"/>
          <w:sz w:val="22"/>
          <w:lang w:val="ro-RO"/>
        </w:rPr>
        <w:t xml:space="preserve">Alimentarea cu energie electrică </w:t>
      </w:r>
    </w:p>
    <w:p w14:paraId="1429AF80">
      <w:pPr>
        <w:ind w:firstLine="0"/>
        <w:rPr>
          <w:rFonts w:cs="Arial"/>
          <w:sz w:val="22"/>
          <w:lang w:val="ro-RO"/>
        </w:rPr>
      </w:pPr>
      <w:r>
        <w:rPr>
          <w:rFonts w:cs="Arial"/>
          <w:sz w:val="22"/>
          <w:lang w:val="ro-RO"/>
        </w:rPr>
        <w:t>Toate localitățile din Comuna Șimian dispun de alimentare cu energie electrică.</w:t>
      </w:r>
    </w:p>
    <w:p w14:paraId="1E3E7820">
      <w:pPr>
        <w:ind w:firstLine="0"/>
        <w:rPr>
          <w:rFonts w:cs="Arial"/>
          <w:sz w:val="22"/>
          <w:lang w:val="ro-RO"/>
        </w:rPr>
      </w:pPr>
      <w:r>
        <w:rPr>
          <w:rFonts w:cs="Arial"/>
          <w:sz w:val="22"/>
          <w:lang w:val="ro-RO"/>
        </w:rPr>
        <w:t>Pe teritoriul comunei trec liniile:</w:t>
      </w:r>
    </w:p>
    <w:p w14:paraId="5D93270F">
      <w:pPr>
        <w:ind w:firstLine="0"/>
        <w:rPr>
          <w:rFonts w:cs="Arial"/>
          <w:sz w:val="22"/>
          <w:lang w:val="ro-RO"/>
        </w:rPr>
      </w:pPr>
      <w:r>
        <w:rPr>
          <w:rFonts w:cs="Arial"/>
          <w:sz w:val="22"/>
          <w:lang w:val="ro-RO"/>
        </w:rPr>
        <w:t>•</w:t>
      </w:r>
      <w:r>
        <w:rPr>
          <w:rFonts w:cs="Arial"/>
          <w:sz w:val="22"/>
          <w:lang w:val="ro-RO"/>
        </w:rPr>
        <w:tab/>
      </w:r>
      <w:r>
        <w:rPr>
          <w:rFonts w:cs="Arial"/>
          <w:sz w:val="22"/>
          <w:lang w:val="ro-RO"/>
        </w:rPr>
        <w:t>L110 BANOVITA-VALEA ALBA 2</w:t>
      </w:r>
    </w:p>
    <w:p w14:paraId="714E5691">
      <w:pPr>
        <w:ind w:firstLine="0"/>
        <w:rPr>
          <w:rFonts w:cs="Arial"/>
          <w:sz w:val="22"/>
          <w:lang w:val="ro-RO"/>
        </w:rPr>
      </w:pPr>
      <w:r>
        <w:rPr>
          <w:rFonts w:cs="Arial"/>
          <w:sz w:val="22"/>
          <w:lang w:val="ro-RO"/>
        </w:rPr>
        <w:t>•</w:t>
      </w:r>
      <w:r>
        <w:rPr>
          <w:rFonts w:cs="Arial"/>
          <w:sz w:val="22"/>
          <w:lang w:val="ro-RO"/>
        </w:rPr>
        <w:tab/>
      </w:r>
      <w:r>
        <w:rPr>
          <w:rFonts w:cs="Arial"/>
          <w:sz w:val="22"/>
          <w:lang w:val="ro-RO"/>
        </w:rPr>
        <w:t>L110 BANOVITA-VALEA ALBA 1</w:t>
      </w:r>
    </w:p>
    <w:p w14:paraId="655BFCFF">
      <w:pPr>
        <w:ind w:firstLine="0"/>
        <w:rPr>
          <w:rFonts w:cs="Arial"/>
          <w:sz w:val="22"/>
          <w:lang w:val="ro-RO"/>
        </w:rPr>
      </w:pPr>
      <w:r>
        <w:rPr>
          <w:rFonts w:cs="Arial"/>
          <w:sz w:val="22"/>
          <w:lang w:val="ro-RO"/>
        </w:rPr>
        <w:t>•</w:t>
      </w:r>
      <w:r>
        <w:rPr>
          <w:rFonts w:cs="Arial"/>
          <w:sz w:val="22"/>
          <w:lang w:val="ro-RO"/>
        </w:rPr>
        <w:tab/>
      </w:r>
      <w:r>
        <w:rPr>
          <w:rFonts w:cs="Arial"/>
          <w:sz w:val="22"/>
          <w:lang w:val="ro-RO"/>
        </w:rPr>
        <w:t>L110 KV BANOVITA-VANJU MARE_SC</w:t>
      </w:r>
    </w:p>
    <w:p w14:paraId="1505BA73">
      <w:pPr>
        <w:ind w:firstLine="0"/>
        <w:rPr>
          <w:rFonts w:cs="Arial"/>
          <w:sz w:val="22"/>
          <w:lang w:val="ro-RO"/>
        </w:rPr>
      </w:pPr>
      <w:r>
        <w:rPr>
          <w:rFonts w:cs="Arial"/>
          <w:sz w:val="22"/>
          <w:lang w:val="ro-RO"/>
        </w:rPr>
        <w:t>•</w:t>
      </w:r>
      <w:r>
        <w:rPr>
          <w:rFonts w:cs="Arial"/>
          <w:sz w:val="22"/>
          <w:lang w:val="ro-RO"/>
        </w:rPr>
        <w:tab/>
      </w:r>
      <w:r>
        <w:rPr>
          <w:rFonts w:cs="Arial"/>
          <w:sz w:val="22"/>
          <w:lang w:val="ro-RO"/>
        </w:rPr>
        <w:t>L110 BANOV-FILIASI (ARMAT)_DC</w:t>
      </w:r>
    </w:p>
    <w:p w14:paraId="17CE9244">
      <w:pPr>
        <w:ind w:firstLine="0"/>
        <w:rPr>
          <w:rFonts w:cs="Arial"/>
          <w:sz w:val="22"/>
          <w:lang w:val="ro-RO"/>
        </w:rPr>
      </w:pPr>
      <w:r>
        <w:rPr>
          <w:rFonts w:cs="Arial"/>
          <w:sz w:val="22"/>
          <w:lang w:val="ro-RO"/>
        </w:rPr>
        <w:t>•</w:t>
      </w:r>
      <w:r>
        <w:rPr>
          <w:rFonts w:cs="Arial"/>
          <w:sz w:val="22"/>
          <w:lang w:val="ro-RO"/>
        </w:rPr>
        <w:tab/>
      </w:r>
      <w:r>
        <w:rPr>
          <w:rFonts w:cs="Arial"/>
          <w:sz w:val="22"/>
          <w:lang w:val="ro-RO"/>
        </w:rPr>
        <w:t>L110 KV CET-BANOVITA 1_DC</w:t>
      </w:r>
    </w:p>
    <w:p w14:paraId="6ACDEEED">
      <w:pPr>
        <w:ind w:firstLine="0"/>
        <w:rPr>
          <w:rFonts w:cs="Arial"/>
          <w:sz w:val="22"/>
          <w:lang w:val="ro-RO"/>
        </w:rPr>
      </w:pPr>
      <w:r>
        <w:rPr>
          <w:rFonts w:cs="Arial"/>
          <w:sz w:val="22"/>
          <w:lang w:val="ro-RO"/>
        </w:rPr>
        <w:t xml:space="preserve">De asemenea, toate localitățile sunt străbătute de LEA 0,4 KV. </w:t>
      </w:r>
    </w:p>
    <w:p w14:paraId="7953EB16">
      <w:pPr>
        <w:ind w:firstLine="0"/>
        <w:rPr>
          <w:rFonts w:cs="Arial"/>
          <w:sz w:val="22"/>
          <w:lang w:val="ro-RO"/>
        </w:rPr>
      </w:pPr>
      <w:r>
        <w:rPr>
          <w:rFonts w:cs="Arial"/>
          <w:sz w:val="22"/>
          <w:lang w:val="ro-RO"/>
        </w:rPr>
        <w:t xml:space="preserve">Stații de transformare sunt la Șimian, Erghevița, Dedovița Nouă, Cerneți, Dudașu, Valea Copcii. </w:t>
      </w:r>
    </w:p>
    <w:p w14:paraId="4ADEA6D7">
      <w:pPr>
        <w:rPr>
          <w:rFonts w:cs="Arial"/>
          <w:sz w:val="22"/>
          <w:lang w:val="ro-RO"/>
        </w:rPr>
      </w:pPr>
      <w:r>
        <w:rPr>
          <w:rFonts w:cs="Arial"/>
          <w:sz w:val="22"/>
          <w:lang w:val="ro-RO"/>
        </w:rPr>
        <w:t>Alimentarea cu energie electrică se va realiza în baza avizului tehnic de racordare emis de către operatorul de distribuție în urma analizei condițiilor de racordare în funcție de necesarul de consum solicitat.</w:t>
      </w:r>
    </w:p>
    <w:p w14:paraId="0E7F614E">
      <w:pPr>
        <w:rPr>
          <w:rFonts w:cs="Arial"/>
          <w:sz w:val="22"/>
          <w:lang w:val="ro-RO"/>
        </w:rPr>
      </w:pPr>
      <w:r>
        <w:rPr>
          <w:rFonts w:cs="Arial"/>
          <w:sz w:val="22"/>
          <w:lang w:val="ro-RO"/>
        </w:rPr>
        <w:br w:type="textWrapping"/>
      </w:r>
      <w:r>
        <w:rPr>
          <w:rFonts w:cs="Arial"/>
          <w:sz w:val="22"/>
          <w:lang w:val="ro-RO"/>
        </w:rPr>
        <w:t>Conform informațiilor primite de la Primăria Comunei Șimian, la nivelul UAT Comuna Șimian există aprobat un proiect privind ,,CAPACITATEA DE PRODUCERE A ENERGIE DIN SURSE REGENERABILE PENTRU CONSUM PROPRIU – COMUNA ȘIMIAN", ceea ce presupune producerea de energie din surse regenerabile pentru consum propriu în toate clădirile publice, unitățile de învățământ și iluminatul public.</w:t>
      </w:r>
    </w:p>
    <w:p w14:paraId="2E9833BD">
      <w:pPr>
        <w:rPr>
          <w:rFonts w:cs="Arial"/>
          <w:sz w:val="22"/>
          <w:lang w:val="ro-RO"/>
        </w:rPr>
      </w:pPr>
      <w:r>
        <w:rPr>
          <w:rFonts w:cs="Arial"/>
          <w:sz w:val="22"/>
          <w:lang w:val="ro-RO"/>
        </w:rPr>
        <w:t>Stadiul proietelor de modernizare sau extindere în curs de realizare, cu pregătire sau care sunt propuse pentru perioada 2025-2027 pentru rețeaua de iluminat public</w:t>
      </w:r>
    </w:p>
    <w:p w14:paraId="12F54BDA">
      <w:pPr>
        <w:spacing w:line="276" w:lineRule="auto"/>
        <w:rPr>
          <w:rFonts w:cs="Arial"/>
          <w:sz w:val="22"/>
          <w:lang w:val="ro-RO"/>
        </w:rPr>
      </w:pPr>
      <w:r>
        <w:rPr>
          <w:rFonts w:cs="Arial"/>
          <w:sz w:val="22"/>
          <w:lang w:val="ro-RO"/>
        </w:rPr>
        <w:t>Proiect finalizat:</w:t>
      </w:r>
    </w:p>
    <w:p w14:paraId="25E5E8A9">
      <w:pPr>
        <w:spacing w:line="276" w:lineRule="auto"/>
        <w:ind w:firstLine="0"/>
        <w:rPr>
          <w:rFonts w:cs="Arial"/>
          <w:sz w:val="22"/>
          <w:lang w:val="ro-RO"/>
        </w:rPr>
      </w:pPr>
      <w:r>
        <w:rPr>
          <w:rFonts w:cs="Arial"/>
          <w:sz w:val="22"/>
          <w:lang w:val="ro-RO"/>
        </w:rPr>
        <w:t>„Reabilitarea și modernizarea sistemului de iluminat public în Comuna Șimian.„</w:t>
      </w:r>
    </w:p>
    <w:p w14:paraId="001B5744">
      <w:pPr>
        <w:spacing w:line="276" w:lineRule="auto"/>
        <w:rPr>
          <w:rFonts w:cs="Arial"/>
          <w:sz w:val="22"/>
          <w:lang w:val="ro-RO"/>
        </w:rPr>
      </w:pPr>
      <w:r>
        <w:rPr>
          <w:rFonts w:cs="Arial"/>
          <w:sz w:val="22"/>
          <w:lang w:val="ro-RO"/>
        </w:rPr>
        <w:t>Proiecte depuse:</w:t>
      </w:r>
    </w:p>
    <w:p w14:paraId="33EF8433">
      <w:pPr>
        <w:spacing w:line="276" w:lineRule="auto"/>
        <w:ind w:firstLine="0"/>
        <w:rPr>
          <w:rFonts w:cs="Arial"/>
          <w:sz w:val="22"/>
          <w:lang w:val="ro-RO"/>
        </w:rPr>
      </w:pPr>
      <w:r>
        <w:rPr>
          <w:rFonts w:cs="Arial"/>
          <w:sz w:val="22"/>
          <w:lang w:val="ro-RO"/>
        </w:rPr>
        <w:t>„Reabilitarea și modernizarea sistemului de iluminat public 2 în Comuna Șimian.„</w:t>
      </w:r>
    </w:p>
    <w:p w14:paraId="06AF70B9">
      <w:pPr>
        <w:spacing w:line="276" w:lineRule="auto"/>
        <w:rPr>
          <w:rFonts w:cs="Arial"/>
          <w:sz w:val="22"/>
          <w:lang w:val="ro-RO"/>
        </w:rPr>
      </w:pPr>
    </w:p>
    <w:p w14:paraId="1384230E">
      <w:pPr>
        <w:spacing w:line="276" w:lineRule="auto"/>
        <w:rPr>
          <w:rFonts w:cs="Arial"/>
          <w:sz w:val="22"/>
          <w:lang w:val="ro-RO"/>
        </w:rPr>
      </w:pPr>
    </w:p>
    <w:p w14:paraId="27FB87FB">
      <w:pPr>
        <w:spacing w:line="276" w:lineRule="auto"/>
        <w:rPr>
          <w:rFonts w:cs="Arial"/>
          <w:sz w:val="22"/>
          <w:lang w:val="ro-RO"/>
        </w:rPr>
      </w:pPr>
    </w:p>
    <w:p w14:paraId="478B42A7">
      <w:pPr>
        <w:pStyle w:val="5"/>
        <w:numPr>
          <w:ilvl w:val="3"/>
          <w:numId w:val="8"/>
        </w:numPr>
        <w:spacing w:before="0"/>
        <w:rPr>
          <w:rFonts w:ascii="Arial" w:hAnsi="Arial" w:cs="Arial"/>
          <w:i w:val="0"/>
          <w:iCs w:val="0"/>
          <w:sz w:val="22"/>
          <w:lang w:val="ro-RO"/>
        </w:rPr>
      </w:pPr>
      <w:r>
        <w:rPr>
          <w:rFonts w:ascii="Arial" w:hAnsi="Arial" w:cs="Arial"/>
          <w:i w:val="0"/>
          <w:iCs w:val="0"/>
          <w:sz w:val="22"/>
          <w:lang w:val="ro-RO"/>
        </w:rPr>
        <w:t>Alimentarea cu apă</w:t>
      </w:r>
    </w:p>
    <w:p w14:paraId="04367982">
      <w:pPr>
        <w:rPr>
          <w:rFonts w:cs="Arial" w:eastAsiaTheme="minorEastAsia"/>
          <w:sz w:val="22"/>
          <w:lang w:val="ro-RO"/>
        </w:rPr>
      </w:pPr>
      <w:r>
        <w:rPr>
          <w:rFonts w:cs="Arial" w:eastAsiaTheme="minorEastAsia"/>
          <w:sz w:val="22"/>
          <w:lang w:val="ro-RO"/>
        </w:rPr>
        <w:t xml:space="preserve">Până în anii 1990, alimentarea cu apă se realiza cu precădere prin intermediul puțurilor și a fântânilor. </w:t>
      </w:r>
      <w:r>
        <w:rPr>
          <w:rFonts w:cs="Arial" w:eastAsiaTheme="minorEastAsia"/>
          <w:sz w:val="22"/>
          <w:lang w:val="ro-RO"/>
        </w:rPr>
        <w:br w:type="textWrapping"/>
      </w:r>
      <w:r>
        <w:rPr>
          <w:rFonts w:cs="Arial" w:eastAsiaTheme="minorEastAsia"/>
          <w:sz w:val="22"/>
          <w:lang w:val="ro-RO"/>
        </w:rPr>
        <w:t>În anul 1995, lungimea totală a rețelei de distribuire a apei potabile era de 3,4 km, ajungând în anul 2000 la 5.4 km pentru localitățile Șimian, Dudașu, Cerneți și Dedovița Nouă, iar în 2005 ajunge la 31.8 km, în urma racordării localității Cerneți. În 2010, Dudașu se racordează la mun. Drobeta Turnu Severin, astfel încât rețeaua scade la 28 de km. În satul Cerneți există o stație de alimentare cu apă.</w:t>
      </w:r>
    </w:p>
    <w:p w14:paraId="38E01637">
      <w:pPr>
        <w:ind w:firstLine="0"/>
        <w:rPr>
          <w:rFonts w:cs="Arial" w:eastAsiaTheme="minorEastAsia"/>
          <w:sz w:val="22"/>
        </w:rPr>
      </w:pPr>
      <w:r>
        <w:rPr>
          <w:rFonts w:cs="Arial" w:eastAsiaTheme="minorEastAsia"/>
          <w:sz w:val="22"/>
          <w:lang w:val="ro-RO"/>
        </w:rPr>
        <w:t>În anul 2014  situația accesului populației la apă era următoarea</w:t>
      </w:r>
      <w:r>
        <w:rPr>
          <w:rFonts w:cs="Arial" w:eastAsiaTheme="minorEastAsia"/>
          <w:sz w:val="22"/>
        </w:rPr>
        <w:t>:</w:t>
      </w:r>
    </w:p>
    <w:p w14:paraId="07C11958">
      <w:pPr>
        <w:numPr>
          <w:ilvl w:val="0"/>
          <w:numId w:val="9"/>
        </w:numPr>
        <w:contextualSpacing/>
        <w:rPr>
          <w:rFonts w:cs="Arial" w:eastAsiaTheme="minorEastAsia"/>
          <w:sz w:val="22"/>
          <w:lang w:val="ro-RO"/>
        </w:rPr>
      </w:pPr>
      <w:r>
        <w:rPr>
          <w:rFonts w:cs="Arial" w:eastAsiaTheme="minorEastAsia"/>
          <w:sz w:val="22"/>
          <w:lang w:val="ro-RO"/>
        </w:rPr>
        <w:t>Șimian – 27,99% populație cu acces la apă</w:t>
      </w:r>
    </w:p>
    <w:p w14:paraId="15F604E3">
      <w:pPr>
        <w:numPr>
          <w:ilvl w:val="0"/>
          <w:numId w:val="9"/>
        </w:numPr>
        <w:contextualSpacing/>
        <w:rPr>
          <w:rFonts w:cs="Arial" w:eastAsiaTheme="minorEastAsia"/>
          <w:sz w:val="22"/>
          <w:lang w:val="ro-RO"/>
        </w:rPr>
      </w:pPr>
      <w:r>
        <w:rPr>
          <w:rFonts w:cs="Arial" w:eastAsiaTheme="minorEastAsia"/>
          <w:sz w:val="22"/>
          <w:lang w:val="ro-RO"/>
        </w:rPr>
        <w:t>Dudașu – 46,35% populație cu acces la apă</w:t>
      </w:r>
    </w:p>
    <w:p w14:paraId="1A26299F">
      <w:pPr>
        <w:numPr>
          <w:ilvl w:val="0"/>
          <w:numId w:val="9"/>
        </w:numPr>
        <w:contextualSpacing/>
        <w:rPr>
          <w:rFonts w:cs="Arial" w:eastAsiaTheme="minorEastAsia"/>
          <w:sz w:val="22"/>
          <w:lang w:val="ro-RO"/>
        </w:rPr>
      </w:pPr>
      <w:r>
        <w:rPr>
          <w:rFonts w:cs="Arial" w:eastAsiaTheme="minorEastAsia"/>
          <w:sz w:val="22"/>
          <w:lang w:val="ro-RO"/>
        </w:rPr>
        <w:t>Dedovița Nouă – 62,50% populație cu acces la apă</w:t>
      </w:r>
    </w:p>
    <w:p w14:paraId="4517723B">
      <w:pPr>
        <w:numPr>
          <w:ilvl w:val="0"/>
          <w:numId w:val="9"/>
        </w:numPr>
        <w:contextualSpacing/>
        <w:rPr>
          <w:rFonts w:cs="Arial" w:eastAsiaTheme="minorEastAsia"/>
          <w:sz w:val="22"/>
          <w:lang w:val="ro-RO"/>
        </w:rPr>
      </w:pPr>
      <w:r>
        <w:rPr>
          <w:rFonts w:cs="Arial" w:eastAsiaTheme="minorEastAsia"/>
          <w:sz w:val="22"/>
        </w:rPr>
        <w:t>Cerne</w:t>
      </w:r>
      <w:r>
        <w:rPr>
          <w:rFonts w:cs="Arial" w:eastAsiaTheme="minorEastAsia"/>
          <w:sz w:val="22"/>
          <w:lang w:val="ro-RO"/>
        </w:rPr>
        <w:t>ți – 93,25% populație cu acces la apă</w:t>
      </w:r>
    </w:p>
    <w:p w14:paraId="2F86277D">
      <w:pPr>
        <w:numPr>
          <w:ilvl w:val="0"/>
          <w:numId w:val="9"/>
        </w:numPr>
        <w:contextualSpacing/>
        <w:rPr>
          <w:rFonts w:cs="Arial" w:eastAsiaTheme="minorEastAsia"/>
          <w:sz w:val="22"/>
          <w:lang w:val="ro-RO"/>
        </w:rPr>
      </w:pPr>
      <w:r>
        <w:rPr>
          <w:rFonts w:cs="Arial" w:eastAsiaTheme="minorEastAsia"/>
          <w:sz w:val="22"/>
          <w:lang w:val="ro-RO"/>
        </w:rPr>
        <w:t>Erghevița – 26,21% populație cu acces la apă</w:t>
      </w:r>
    </w:p>
    <w:p w14:paraId="48A5A905">
      <w:pPr>
        <w:numPr>
          <w:ilvl w:val="0"/>
          <w:numId w:val="9"/>
        </w:numPr>
        <w:contextualSpacing/>
        <w:rPr>
          <w:rFonts w:cs="Arial" w:eastAsiaTheme="minorEastAsia"/>
          <w:sz w:val="22"/>
          <w:lang w:val="ro-RO"/>
        </w:rPr>
      </w:pPr>
      <w:r>
        <w:rPr>
          <w:rFonts w:cs="Arial" w:eastAsiaTheme="minorEastAsia"/>
          <w:sz w:val="22"/>
          <w:lang w:val="ro-RO"/>
        </w:rPr>
        <w:t>Valea Copcii – 20.00% populație cu acces la apă</w:t>
      </w:r>
    </w:p>
    <w:p w14:paraId="16521104">
      <w:pPr>
        <w:numPr>
          <w:ilvl w:val="0"/>
          <w:numId w:val="9"/>
        </w:numPr>
        <w:contextualSpacing/>
        <w:rPr>
          <w:rFonts w:cs="Arial" w:eastAsiaTheme="minorEastAsia"/>
          <w:sz w:val="22"/>
          <w:lang w:val="ro-RO"/>
        </w:rPr>
      </w:pPr>
      <w:r>
        <w:rPr>
          <w:rFonts w:cs="Arial" w:eastAsiaTheme="minorEastAsia"/>
          <w:sz w:val="22"/>
          <w:lang w:val="ro-RO"/>
        </w:rPr>
        <w:t>Dedovița Veche – 39.24% populație cu acces la apă</w:t>
      </w:r>
    </w:p>
    <w:p w14:paraId="65638504">
      <w:pPr>
        <w:numPr>
          <w:ilvl w:val="0"/>
          <w:numId w:val="9"/>
        </w:numPr>
        <w:contextualSpacing/>
        <w:rPr>
          <w:rFonts w:cs="Arial" w:eastAsiaTheme="minorEastAsia"/>
          <w:sz w:val="22"/>
          <w:lang w:val="ro-RO"/>
        </w:rPr>
      </w:pPr>
      <w:r>
        <w:rPr>
          <w:rFonts w:cs="Arial" w:eastAsiaTheme="minorEastAsia"/>
          <w:sz w:val="22"/>
          <w:lang w:val="ro-RO"/>
        </w:rPr>
        <w:t>Poroina – 39.08% populație cu acces la apă</w:t>
      </w:r>
    </w:p>
    <w:p w14:paraId="512C9982">
      <w:pPr>
        <w:ind w:left="720" w:firstLine="0"/>
        <w:contextualSpacing/>
        <w:rPr>
          <w:rFonts w:cs="Arial" w:eastAsiaTheme="minorEastAsia"/>
          <w:sz w:val="22"/>
          <w:lang w:val="ro-RO"/>
        </w:rPr>
      </w:pPr>
    </w:p>
    <w:p w14:paraId="36E94173">
      <w:pPr>
        <w:ind w:firstLine="360"/>
        <w:contextualSpacing/>
        <w:rPr>
          <w:rFonts w:cs="Arial" w:eastAsiaTheme="minorEastAsia"/>
          <w:sz w:val="22"/>
          <w:lang w:val="ro-RO"/>
        </w:rPr>
      </w:pPr>
      <w:r>
        <w:rPr>
          <w:rFonts w:cs="Arial" w:eastAsiaTheme="minorEastAsia"/>
          <w:sz w:val="22"/>
          <w:lang w:val="ro-RO"/>
        </w:rPr>
        <w:t>În prezent există 1 proiect pentru alimentare cu apă ”</w:t>
      </w:r>
      <w:r>
        <w:rPr>
          <w:rFonts w:cs="Arial"/>
          <w:sz w:val="22"/>
        </w:rPr>
        <w:t xml:space="preserve"> </w:t>
      </w:r>
      <w:r>
        <w:rPr>
          <w:rFonts w:cs="Arial" w:eastAsiaTheme="minorEastAsia"/>
          <w:sz w:val="22"/>
          <w:lang w:val="ro-RO"/>
        </w:rPr>
        <w:t>Extindere rețele de apă și canalizare menajeră în Satele Șimian, Cerneți și Dedovița Nouă, Comuna Șimian, Județul Mehedinți„, „</w:t>
      </w:r>
    </w:p>
    <w:p w14:paraId="35F2DDFE">
      <w:pPr>
        <w:ind w:firstLine="0"/>
        <w:rPr>
          <w:rFonts w:cs="Arial" w:eastAsiaTheme="minorEastAsia"/>
          <w:sz w:val="22"/>
          <w:lang w:val="ro-RO"/>
        </w:rPr>
      </w:pPr>
      <w:r>
        <w:rPr>
          <w:rFonts w:cs="Arial" w:eastAsiaTheme="minorEastAsia"/>
          <w:sz w:val="22"/>
          <w:lang w:val="ro-RO"/>
        </w:rPr>
        <w:t>În prezent există un proiect de alimentare cu apă - “Proiectul regional de dezvoltare a infrastructurii de apa si apa uzata in judetul Mehedinti in perioada 2014-2020”, care implică localitățile Șimian, Dudașu și Dedovița Nouă pentru un sistem macrozonal. De asemenea este propus un sistem microzonal de apă - SZA Erghevița – care include localitățile Dedovița Veche, Poroina, Erghevița și Valea Copcii.</w:t>
      </w:r>
    </w:p>
    <w:p w14:paraId="413B368F">
      <w:pPr>
        <w:ind w:firstLine="0"/>
        <w:rPr>
          <w:rFonts w:cs="Arial" w:eastAsiaTheme="minorEastAsia"/>
          <w:sz w:val="22"/>
        </w:rPr>
      </w:pPr>
      <w:r>
        <w:rPr>
          <w:rFonts w:cs="Arial" w:eastAsiaTheme="minorEastAsia"/>
          <w:sz w:val="22"/>
          <w:lang w:val="ro-RO"/>
        </w:rPr>
        <w:t>Sistemele zonale cu localitățile componente sunt următoarele</w:t>
      </w:r>
      <w:r>
        <w:rPr>
          <w:rFonts w:cs="Arial" w:eastAsiaTheme="minorEastAsia"/>
          <w:sz w:val="22"/>
        </w:rPr>
        <w:t>:</w:t>
      </w:r>
    </w:p>
    <w:p w14:paraId="17A8EB43">
      <w:pPr>
        <w:numPr>
          <w:ilvl w:val="0"/>
          <w:numId w:val="10"/>
        </w:numPr>
        <w:contextualSpacing/>
        <w:rPr>
          <w:rFonts w:cs="Arial" w:eastAsiaTheme="minorEastAsia"/>
          <w:sz w:val="22"/>
        </w:rPr>
      </w:pPr>
      <w:r>
        <w:rPr>
          <w:rFonts w:cs="Arial" w:eastAsiaTheme="minorEastAsia"/>
          <w:sz w:val="22"/>
          <w:lang w:val="ro-RO"/>
        </w:rPr>
        <w:t>Sistem zonal de alimentare cu apa Drobeta Turnu Severin</w:t>
      </w:r>
      <w:r>
        <w:rPr>
          <w:rFonts w:cs="Arial" w:eastAsiaTheme="minorEastAsia"/>
          <w:sz w:val="22"/>
          <w:lang w:val="en-GB"/>
        </w:rPr>
        <w:t xml:space="preserve">: </w:t>
      </w:r>
      <w:r>
        <w:rPr>
          <w:rFonts w:cs="Arial" w:eastAsiaTheme="minorEastAsia"/>
          <w:sz w:val="22"/>
          <w:lang w:val="ro-RO"/>
        </w:rPr>
        <w:t>Șimian, Dudașu și Dedovița Nouă;</w:t>
      </w:r>
    </w:p>
    <w:p w14:paraId="46561E9D">
      <w:pPr>
        <w:numPr>
          <w:ilvl w:val="0"/>
          <w:numId w:val="10"/>
        </w:numPr>
        <w:contextualSpacing/>
        <w:rPr>
          <w:rFonts w:cs="Arial" w:eastAsiaTheme="minorEastAsia"/>
          <w:sz w:val="22"/>
        </w:rPr>
      </w:pPr>
      <w:r>
        <w:rPr>
          <w:rFonts w:cs="Arial" w:eastAsiaTheme="minorEastAsia"/>
          <w:sz w:val="22"/>
          <w:lang w:val="ro-RO"/>
        </w:rPr>
        <w:t>Sistem de alimentare cu apa Cerneti: Cerneți;</w:t>
      </w:r>
    </w:p>
    <w:p w14:paraId="70E14C7E">
      <w:pPr>
        <w:numPr>
          <w:ilvl w:val="0"/>
          <w:numId w:val="10"/>
        </w:numPr>
        <w:contextualSpacing/>
        <w:rPr>
          <w:rFonts w:cs="Arial" w:eastAsiaTheme="minorEastAsia"/>
          <w:sz w:val="22"/>
          <w:lang w:val="ro-RO"/>
        </w:rPr>
      </w:pPr>
      <w:r>
        <w:rPr>
          <w:rFonts w:cs="Arial" w:eastAsiaTheme="minorEastAsia"/>
          <w:sz w:val="22"/>
          <w:lang w:val="ro-RO"/>
        </w:rPr>
        <w:t>Sistem zonal de alimentare cu apa Erghevița</w:t>
      </w:r>
      <w:r>
        <w:rPr>
          <w:rFonts w:cs="Arial" w:eastAsiaTheme="minorEastAsia"/>
          <w:sz w:val="22"/>
        </w:rPr>
        <w:t>: Erghevi</w:t>
      </w:r>
      <w:r>
        <w:rPr>
          <w:rFonts w:cs="Arial" w:eastAsiaTheme="minorEastAsia"/>
          <w:sz w:val="22"/>
          <w:lang w:val="ro-RO"/>
        </w:rPr>
        <w:t>ț</w:t>
      </w:r>
      <w:r>
        <w:rPr>
          <w:rFonts w:cs="Arial" w:eastAsiaTheme="minorEastAsia"/>
          <w:sz w:val="22"/>
        </w:rPr>
        <w:t>a, Valea Copcii, Dedovița Veche si Poroina.</w:t>
      </w:r>
    </w:p>
    <w:p w14:paraId="0E40675A">
      <w:pPr>
        <w:ind w:firstLine="0"/>
        <w:rPr>
          <w:rFonts w:cs="Arial" w:eastAsiaTheme="minorEastAsia"/>
          <w:sz w:val="22"/>
          <w:lang w:val="ro-RO"/>
        </w:rPr>
      </w:pPr>
      <w:r>
        <w:rPr>
          <w:rFonts w:cs="Arial" w:eastAsiaTheme="minorEastAsia"/>
          <w:sz w:val="22"/>
          <w:lang w:val="ro-RO"/>
        </w:rPr>
        <w:t>Pentru comună, se propune reabilitarea conductei de aducțiune, reabilitarea rezervorului de înmagazinare, extindere rețelei de distribuție (inclusiv branșamente), reabilitarea rețelei de distribuție (inclusiv branșamente).</w:t>
      </w:r>
    </w:p>
    <w:p w14:paraId="57C9989F">
      <w:pPr>
        <w:ind w:firstLine="0"/>
        <w:rPr>
          <w:rFonts w:cs="Arial" w:eastAsiaTheme="minorEastAsia"/>
          <w:sz w:val="22"/>
        </w:rPr>
      </w:pPr>
      <w:r>
        <w:rPr>
          <w:rFonts w:cs="Arial" w:eastAsiaTheme="minorEastAsia"/>
          <w:sz w:val="22"/>
          <w:lang w:val="ro-RO"/>
        </w:rPr>
        <w:t>Sunt propuse astfel prin acest proiect următoarele măsuri</w:t>
      </w:r>
      <w:r>
        <w:rPr>
          <w:rFonts w:cs="Arial" w:eastAsiaTheme="minorEastAsia"/>
          <w:sz w:val="22"/>
          <w:vertAlign w:val="superscript"/>
          <w:lang w:val="ro-RO"/>
        </w:rPr>
        <w:t>:</w:t>
      </w:r>
    </w:p>
    <w:p w14:paraId="6BF0FD0D">
      <w:pPr>
        <w:ind w:firstLine="0"/>
        <w:rPr>
          <w:rFonts w:cs="Arial" w:eastAsiaTheme="minorEastAsia"/>
          <w:sz w:val="22"/>
          <w:u w:val="single"/>
          <w:lang w:val="ro-RO"/>
        </w:rPr>
      </w:pPr>
      <w:r>
        <w:rPr>
          <w:rFonts w:cs="Arial" w:eastAsiaTheme="minorEastAsia"/>
          <w:sz w:val="22"/>
          <w:u w:val="single"/>
          <w:lang w:val="ro-RO"/>
        </w:rPr>
        <w:t>Localitatea Simian</w:t>
      </w:r>
    </w:p>
    <w:p w14:paraId="1728CE24">
      <w:pPr>
        <w:numPr>
          <w:ilvl w:val="0"/>
          <w:numId w:val="11"/>
        </w:numPr>
        <w:contextualSpacing/>
        <w:rPr>
          <w:rFonts w:cs="Arial" w:eastAsiaTheme="minorEastAsia"/>
          <w:sz w:val="22"/>
          <w:lang w:val="ro-RO"/>
        </w:rPr>
      </w:pPr>
      <w:r>
        <w:rPr>
          <w:rFonts w:cs="Arial" w:eastAsiaTheme="minorEastAsia"/>
          <w:sz w:val="22"/>
          <w:lang w:val="ro-RO"/>
        </w:rPr>
        <w:t>Reabilitare prin înlocuire conducta de aducțiune/transport de la stația de pompare din Drobeta Turnu Severin la rezervorul de înmagazinare din Șimian, din PEID, PE100, RC, PN10, De 315 mm cu o lungime L = 2222m;</w:t>
      </w:r>
    </w:p>
    <w:p w14:paraId="1378FCA5">
      <w:pPr>
        <w:numPr>
          <w:ilvl w:val="0"/>
          <w:numId w:val="11"/>
        </w:numPr>
        <w:contextualSpacing/>
        <w:rPr>
          <w:rFonts w:cs="Arial" w:eastAsiaTheme="minorEastAsia"/>
          <w:sz w:val="22"/>
          <w:lang w:val="ro-RO"/>
        </w:rPr>
      </w:pPr>
      <w:r>
        <w:rPr>
          <w:rFonts w:cs="Arial" w:eastAsiaTheme="minorEastAsia"/>
          <w:sz w:val="22"/>
          <w:lang w:val="ro-RO"/>
        </w:rPr>
        <w:t>Reabilitare rețea de distribuție apă potabilă cu conducte din PEID, PE100, RC, PN10, De 110mm – De 315mm, cu o lungime L = 4871 m;</w:t>
      </w:r>
    </w:p>
    <w:p w14:paraId="2380F6F2">
      <w:pPr>
        <w:numPr>
          <w:ilvl w:val="0"/>
          <w:numId w:val="11"/>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63mm – De 125mm, cu o lungime L = 1905 m;</w:t>
      </w:r>
    </w:p>
    <w:p w14:paraId="258E73D0">
      <w:pPr>
        <w:numPr>
          <w:ilvl w:val="0"/>
          <w:numId w:val="11"/>
        </w:numPr>
        <w:contextualSpacing/>
        <w:rPr>
          <w:rFonts w:cs="Arial" w:eastAsiaTheme="minorEastAsia"/>
          <w:sz w:val="22"/>
          <w:lang w:val="ro-RO"/>
        </w:rPr>
      </w:pPr>
      <w:r>
        <w:rPr>
          <w:rFonts w:cs="Arial" w:eastAsiaTheme="minorEastAsia"/>
          <w:sz w:val="22"/>
          <w:lang w:val="ro-RO"/>
        </w:rPr>
        <w:t>Reabilitare branșamente existente – 337 buc;</w:t>
      </w:r>
    </w:p>
    <w:p w14:paraId="64FDBA7E">
      <w:pPr>
        <w:numPr>
          <w:ilvl w:val="0"/>
          <w:numId w:val="11"/>
        </w:numPr>
        <w:contextualSpacing/>
        <w:rPr>
          <w:rFonts w:cs="Arial" w:eastAsiaTheme="minorEastAsia"/>
          <w:sz w:val="22"/>
          <w:lang w:val="ro-RO"/>
        </w:rPr>
      </w:pPr>
      <w:r>
        <w:rPr>
          <w:rFonts w:cs="Arial" w:eastAsiaTheme="minorEastAsia"/>
          <w:sz w:val="22"/>
          <w:lang w:val="ro-RO"/>
        </w:rPr>
        <w:t>Branșamente noi la consumatori, realizate din conducte din PEID, PE80, PN10 – 48 buc;</w:t>
      </w:r>
    </w:p>
    <w:p w14:paraId="74E85BFF">
      <w:pPr>
        <w:numPr>
          <w:ilvl w:val="0"/>
          <w:numId w:val="11"/>
        </w:numPr>
        <w:contextualSpacing/>
        <w:rPr>
          <w:rFonts w:cs="Arial" w:eastAsiaTheme="minorEastAsia"/>
          <w:sz w:val="22"/>
          <w:lang w:val="ro-RO"/>
        </w:rPr>
      </w:pPr>
      <w:r>
        <w:rPr>
          <w:rFonts w:cs="Arial" w:eastAsiaTheme="minorEastAsia"/>
          <w:sz w:val="22"/>
          <w:lang w:val="ro-RO"/>
        </w:rPr>
        <w:t>Cămine de vane, hidranți;</w:t>
      </w:r>
    </w:p>
    <w:p w14:paraId="111E38E1">
      <w:pPr>
        <w:numPr>
          <w:ilvl w:val="0"/>
          <w:numId w:val="11"/>
        </w:numPr>
        <w:contextualSpacing/>
        <w:rPr>
          <w:rFonts w:cs="Arial" w:eastAsiaTheme="minorEastAsia"/>
          <w:sz w:val="22"/>
          <w:lang w:val="ro-RO"/>
        </w:rPr>
      </w:pPr>
      <w:r>
        <w:rPr>
          <w:rFonts w:cs="Arial" w:eastAsiaTheme="minorEastAsia"/>
          <w:sz w:val="22"/>
          <w:lang w:val="ro-RO"/>
        </w:rPr>
        <w:t>Integrarea noilor obiecte propuse în sistemul SCADA.</w:t>
      </w:r>
    </w:p>
    <w:p w14:paraId="4F78D14D">
      <w:pPr>
        <w:ind w:firstLine="0"/>
        <w:rPr>
          <w:rFonts w:cs="Arial" w:eastAsiaTheme="minorEastAsia"/>
          <w:sz w:val="22"/>
          <w:u w:val="single"/>
          <w:lang w:val="ro-RO"/>
        </w:rPr>
      </w:pPr>
      <w:r>
        <w:rPr>
          <w:rFonts w:cs="Arial" w:eastAsiaTheme="minorEastAsia"/>
          <w:sz w:val="22"/>
          <w:u w:val="single"/>
          <w:lang w:val="ro-RO"/>
        </w:rPr>
        <w:t>Localitatea Dudașu:</w:t>
      </w:r>
    </w:p>
    <w:p w14:paraId="69024E56">
      <w:pPr>
        <w:numPr>
          <w:ilvl w:val="0"/>
          <w:numId w:val="12"/>
        </w:numPr>
        <w:contextualSpacing/>
        <w:rPr>
          <w:rFonts w:cs="Arial" w:eastAsiaTheme="minorEastAsia"/>
          <w:sz w:val="22"/>
          <w:lang w:val="ro-RO"/>
        </w:rPr>
      </w:pPr>
      <w:r>
        <w:rPr>
          <w:rFonts w:cs="Arial" w:eastAsiaTheme="minorEastAsia"/>
          <w:sz w:val="22"/>
          <w:lang w:val="ro-RO"/>
        </w:rPr>
        <w:t>Reabilitare rețea de distribuție apă potabilă, utilizând conducte din PEID, PE100, RC, PN10, De 110 mm, cu o lungime L = 1485 m;</w:t>
      </w:r>
    </w:p>
    <w:p w14:paraId="18843181">
      <w:pPr>
        <w:numPr>
          <w:ilvl w:val="0"/>
          <w:numId w:val="12"/>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90 mm, cu o lungime L = 50 m;</w:t>
      </w:r>
    </w:p>
    <w:p w14:paraId="226BE9CC">
      <w:pPr>
        <w:numPr>
          <w:ilvl w:val="0"/>
          <w:numId w:val="12"/>
        </w:numPr>
        <w:contextualSpacing/>
        <w:rPr>
          <w:rFonts w:cs="Arial" w:eastAsiaTheme="minorEastAsia"/>
          <w:sz w:val="22"/>
          <w:lang w:val="ro-RO"/>
        </w:rPr>
      </w:pPr>
      <w:r>
        <w:rPr>
          <w:rFonts w:cs="Arial" w:eastAsiaTheme="minorEastAsia"/>
          <w:sz w:val="22"/>
          <w:lang w:val="ro-RO"/>
        </w:rPr>
        <w:t>Reabilitare branșamente existente – 62 buc;</w:t>
      </w:r>
    </w:p>
    <w:p w14:paraId="20F4F8F9">
      <w:pPr>
        <w:numPr>
          <w:ilvl w:val="0"/>
          <w:numId w:val="12"/>
        </w:numPr>
        <w:contextualSpacing/>
        <w:rPr>
          <w:rFonts w:cs="Arial" w:eastAsiaTheme="minorEastAsia"/>
          <w:sz w:val="22"/>
          <w:lang w:val="ro-RO"/>
        </w:rPr>
      </w:pPr>
      <w:r>
        <w:rPr>
          <w:rFonts w:cs="Arial" w:eastAsiaTheme="minorEastAsia"/>
          <w:sz w:val="22"/>
          <w:lang w:val="ro-RO"/>
        </w:rPr>
        <w:t>Branșamente noi la consumatori, realizate din conducte din PEID, PE80, PN10 – 3 buc;</w:t>
      </w:r>
    </w:p>
    <w:p w14:paraId="71003555">
      <w:pPr>
        <w:numPr>
          <w:ilvl w:val="0"/>
          <w:numId w:val="12"/>
        </w:numPr>
        <w:contextualSpacing/>
        <w:rPr>
          <w:rFonts w:cs="Arial" w:eastAsiaTheme="minorEastAsia"/>
          <w:sz w:val="22"/>
          <w:lang w:val="ro-RO"/>
        </w:rPr>
      </w:pPr>
      <w:r>
        <w:rPr>
          <w:rFonts w:cs="Arial" w:eastAsiaTheme="minorEastAsia"/>
          <w:sz w:val="22"/>
          <w:lang w:val="ro-RO"/>
        </w:rPr>
        <w:t>Cămine de vane, hidranți;</w:t>
      </w:r>
    </w:p>
    <w:p w14:paraId="300AE5A8">
      <w:pPr>
        <w:numPr>
          <w:ilvl w:val="0"/>
          <w:numId w:val="12"/>
        </w:numPr>
        <w:contextualSpacing/>
        <w:rPr>
          <w:rFonts w:cs="Arial" w:eastAsiaTheme="minorEastAsia"/>
          <w:sz w:val="22"/>
          <w:lang w:val="ro-RO"/>
        </w:rPr>
      </w:pPr>
      <w:r>
        <w:rPr>
          <w:rFonts w:cs="Arial" w:eastAsiaTheme="minorEastAsia"/>
          <w:sz w:val="22"/>
          <w:lang w:val="ro-RO"/>
        </w:rPr>
        <w:t>Integrarea noilor obiecte propuse în sistemul SCADA.</w:t>
      </w:r>
    </w:p>
    <w:p w14:paraId="2D19278A">
      <w:pPr>
        <w:ind w:firstLine="0"/>
        <w:rPr>
          <w:rFonts w:cs="Arial" w:eastAsiaTheme="minorEastAsia"/>
          <w:sz w:val="22"/>
          <w:u w:val="single"/>
          <w:lang w:val="ro-RO"/>
        </w:rPr>
      </w:pPr>
      <w:r>
        <w:rPr>
          <w:rFonts w:cs="Arial" w:eastAsiaTheme="minorEastAsia"/>
          <w:sz w:val="22"/>
          <w:u w:val="single"/>
          <w:lang w:val="ro-RO"/>
        </w:rPr>
        <w:t>Localitatea Dedovița Nouӑ:</w:t>
      </w:r>
    </w:p>
    <w:p w14:paraId="390E93E1">
      <w:pPr>
        <w:numPr>
          <w:ilvl w:val="0"/>
          <w:numId w:val="13"/>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110 mm, cu o lungime L = 283 m;</w:t>
      </w:r>
    </w:p>
    <w:p w14:paraId="7F4BE1CC">
      <w:pPr>
        <w:numPr>
          <w:ilvl w:val="0"/>
          <w:numId w:val="13"/>
        </w:numPr>
        <w:contextualSpacing/>
        <w:rPr>
          <w:rFonts w:cs="Arial" w:eastAsiaTheme="minorEastAsia"/>
          <w:sz w:val="22"/>
          <w:lang w:val="ro-RO"/>
        </w:rPr>
      </w:pPr>
      <w:r>
        <w:rPr>
          <w:rFonts w:cs="Arial" w:eastAsiaTheme="minorEastAsia"/>
          <w:sz w:val="22"/>
          <w:lang w:val="ro-RO"/>
        </w:rPr>
        <w:t>Branșamente noi la consumatori, realizate din conducte din PEID, PE80, PN10 – 2 buc;</w:t>
      </w:r>
    </w:p>
    <w:p w14:paraId="1D223EC1">
      <w:pPr>
        <w:numPr>
          <w:ilvl w:val="0"/>
          <w:numId w:val="13"/>
        </w:numPr>
        <w:contextualSpacing/>
        <w:rPr>
          <w:rFonts w:cs="Arial" w:eastAsiaTheme="minorEastAsia"/>
          <w:sz w:val="22"/>
          <w:lang w:val="ro-RO"/>
        </w:rPr>
      </w:pPr>
      <w:r>
        <w:rPr>
          <w:rFonts w:cs="Arial" w:eastAsiaTheme="minorEastAsia"/>
          <w:sz w:val="22"/>
          <w:lang w:val="ro-RO"/>
        </w:rPr>
        <w:t>Cămine de vane, hidranți;</w:t>
      </w:r>
    </w:p>
    <w:p w14:paraId="45CE3E77">
      <w:pPr>
        <w:numPr>
          <w:ilvl w:val="0"/>
          <w:numId w:val="13"/>
        </w:numPr>
        <w:contextualSpacing/>
        <w:rPr>
          <w:rFonts w:cs="Arial" w:eastAsiaTheme="minorEastAsia"/>
          <w:sz w:val="22"/>
          <w:lang w:val="ro-RO"/>
        </w:rPr>
      </w:pPr>
      <w:r>
        <w:rPr>
          <w:rFonts w:cs="Arial" w:eastAsiaTheme="minorEastAsia"/>
          <w:sz w:val="22"/>
          <w:lang w:val="ro-RO"/>
        </w:rPr>
        <w:t>Integrarea noilor obiecte propuse în sistemul SCADA.</w:t>
      </w:r>
    </w:p>
    <w:p w14:paraId="63AE8902">
      <w:pPr>
        <w:contextualSpacing/>
        <w:rPr>
          <w:rFonts w:cs="Arial" w:eastAsiaTheme="minorEastAsia"/>
          <w:sz w:val="22"/>
          <w:lang w:val="ro-RO"/>
        </w:rPr>
      </w:pPr>
    </w:p>
    <w:p w14:paraId="3D287865">
      <w:pPr>
        <w:contextualSpacing/>
        <w:rPr>
          <w:rFonts w:cs="Arial" w:eastAsiaTheme="minorEastAsia"/>
          <w:sz w:val="22"/>
          <w:lang w:val="ro-RO"/>
        </w:rPr>
      </w:pPr>
    </w:p>
    <w:p w14:paraId="143F3898">
      <w:pPr>
        <w:ind w:firstLine="0"/>
        <w:rPr>
          <w:rFonts w:cs="Arial" w:eastAsiaTheme="minorEastAsia"/>
          <w:sz w:val="22"/>
          <w:u w:val="single"/>
          <w:lang w:val="ro-RO"/>
        </w:rPr>
      </w:pPr>
      <w:r>
        <w:rPr>
          <w:rFonts w:cs="Arial" w:eastAsiaTheme="minorEastAsia"/>
          <w:sz w:val="22"/>
          <w:u w:val="single"/>
          <w:lang w:val="ro-RO"/>
        </w:rPr>
        <w:t>Sistem de alimentare cu apă Cerneți</w:t>
      </w:r>
    </w:p>
    <w:p w14:paraId="586ADF22">
      <w:pPr>
        <w:numPr>
          <w:ilvl w:val="0"/>
          <w:numId w:val="14"/>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 mm – De110mm, cu o lungime L = 4118m;</w:t>
      </w:r>
    </w:p>
    <w:p w14:paraId="16FEF2DF">
      <w:pPr>
        <w:numPr>
          <w:ilvl w:val="0"/>
          <w:numId w:val="14"/>
        </w:numPr>
        <w:contextualSpacing/>
        <w:rPr>
          <w:rFonts w:cs="Arial" w:eastAsiaTheme="minorEastAsia"/>
          <w:sz w:val="22"/>
          <w:lang w:val="ro-RO"/>
        </w:rPr>
      </w:pPr>
      <w:r>
        <w:rPr>
          <w:rFonts w:cs="Arial" w:eastAsiaTheme="minorEastAsia"/>
          <w:sz w:val="22"/>
          <w:lang w:val="ro-RO"/>
        </w:rPr>
        <w:t>Branșamente noi la consumatori, realizate din conducte din PEID, PE80, RC, PN10 – 59 buc;</w:t>
      </w:r>
    </w:p>
    <w:p w14:paraId="4DB80E7B">
      <w:pPr>
        <w:numPr>
          <w:ilvl w:val="0"/>
          <w:numId w:val="14"/>
        </w:numPr>
        <w:contextualSpacing/>
        <w:rPr>
          <w:rFonts w:cs="Arial" w:eastAsiaTheme="minorEastAsia"/>
          <w:sz w:val="22"/>
          <w:lang w:val="ro-RO"/>
        </w:rPr>
      </w:pPr>
      <w:r>
        <w:rPr>
          <w:rFonts w:cs="Arial" w:eastAsiaTheme="minorEastAsia"/>
          <w:sz w:val="22"/>
          <w:lang w:val="ro-RO"/>
        </w:rPr>
        <w:t>Cămine de vane, hidranți;</w:t>
      </w:r>
    </w:p>
    <w:p w14:paraId="29106ABD">
      <w:pPr>
        <w:numPr>
          <w:ilvl w:val="0"/>
          <w:numId w:val="14"/>
        </w:numPr>
        <w:contextualSpacing/>
        <w:rPr>
          <w:rFonts w:cs="Arial" w:eastAsiaTheme="minorEastAsia"/>
          <w:sz w:val="22"/>
          <w:lang w:val="ro-RO"/>
        </w:rPr>
      </w:pPr>
      <w:r>
        <w:rPr>
          <w:rFonts w:cs="Arial" w:eastAsiaTheme="minorEastAsia"/>
          <w:sz w:val="22"/>
          <w:lang w:val="ro-RO"/>
        </w:rPr>
        <w:t>Reabilitarea rezervorului de înmagazinare cu capacitatea de 500 mc</w:t>
      </w:r>
    </w:p>
    <w:p w14:paraId="75DB9745">
      <w:pPr>
        <w:numPr>
          <w:ilvl w:val="0"/>
          <w:numId w:val="14"/>
        </w:numPr>
        <w:contextualSpacing/>
        <w:rPr>
          <w:rFonts w:cs="Arial" w:eastAsiaTheme="minorEastAsia"/>
          <w:sz w:val="22"/>
          <w:lang w:val="ro-RO"/>
        </w:rPr>
      </w:pPr>
      <w:r>
        <w:rPr>
          <w:rFonts w:cs="Arial" w:eastAsiaTheme="minorEastAsia"/>
          <w:sz w:val="22"/>
          <w:lang w:val="ro-RO"/>
        </w:rPr>
        <w:t>Integrarea noilor obiecte propuse ăn sistemul SCADA.</w:t>
      </w:r>
    </w:p>
    <w:p w14:paraId="04471E44">
      <w:pPr>
        <w:ind w:firstLine="0"/>
        <w:rPr>
          <w:rFonts w:cs="Arial" w:eastAsiaTheme="minorEastAsia"/>
          <w:sz w:val="22"/>
          <w:u w:val="single"/>
          <w:lang w:val="ro-RO"/>
        </w:rPr>
      </w:pPr>
      <w:r>
        <w:rPr>
          <w:rFonts w:cs="Arial" w:eastAsiaTheme="minorEastAsia"/>
          <w:sz w:val="22"/>
          <w:u w:val="single"/>
          <w:lang w:val="ro-RO"/>
        </w:rPr>
        <w:t>Localitatea Dedovița Veche</w:t>
      </w:r>
    </w:p>
    <w:p w14:paraId="3760D545">
      <w:pPr>
        <w:numPr>
          <w:ilvl w:val="0"/>
          <w:numId w:val="15"/>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 mm – De 90 mm, cu o lungime L = 1469 m;</w:t>
      </w:r>
    </w:p>
    <w:p w14:paraId="18E2853F">
      <w:pPr>
        <w:numPr>
          <w:ilvl w:val="0"/>
          <w:numId w:val="15"/>
        </w:numPr>
        <w:contextualSpacing/>
        <w:rPr>
          <w:rFonts w:cs="Arial" w:eastAsiaTheme="minorEastAsia"/>
          <w:sz w:val="22"/>
          <w:lang w:val="ro-RO"/>
        </w:rPr>
      </w:pPr>
      <w:r>
        <w:rPr>
          <w:rFonts w:cs="Arial" w:eastAsiaTheme="minorEastAsia"/>
          <w:sz w:val="22"/>
          <w:lang w:val="ro-RO"/>
        </w:rPr>
        <w:t>Branșamente noi la consumatori, realizate din conducte din PEID, PE80, RC, PN10 – 34 buc;</w:t>
      </w:r>
    </w:p>
    <w:p w14:paraId="451E78CF">
      <w:pPr>
        <w:numPr>
          <w:ilvl w:val="0"/>
          <w:numId w:val="15"/>
        </w:numPr>
        <w:contextualSpacing/>
        <w:rPr>
          <w:rFonts w:cs="Arial" w:eastAsiaTheme="minorEastAsia"/>
          <w:sz w:val="22"/>
          <w:lang w:val="ro-RO"/>
        </w:rPr>
      </w:pPr>
      <w:r>
        <w:rPr>
          <w:rFonts w:cs="Arial" w:eastAsiaTheme="minorEastAsia"/>
          <w:sz w:val="22"/>
          <w:lang w:val="ro-RO"/>
        </w:rPr>
        <w:t>Cămine de vane;</w:t>
      </w:r>
    </w:p>
    <w:p w14:paraId="3D0D7C82">
      <w:pPr>
        <w:numPr>
          <w:ilvl w:val="0"/>
          <w:numId w:val="15"/>
        </w:numPr>
        <w:contextualSpacing/>
        <w:rPr>
          <w:rFonts w:cs="Arial" w:eastAsiaTheme="minorEastAsia"/>
          <w:sz w:val="22"/>
          <w:lang w:val="ro-RO"/>
        </w:rPr>
      </w:pPr>
      <w:r>
        <w:rPr>
          <w:rFonts w:cs="Arial" w:eastAsiaTheme="minorEastAsia"/>
          <w:sz w:val="22"/>
          <w:lang w:val="ro-RO"/>
        </w:rPr>
        <w:t>Integrarea noilor obiecte propuse în sistemul SCADA.</w:t>
      </w:r>
    </w:p>
    <w:p w14:paraId="496E62DD">
      <w:pPr>
        <w:ind w:firstLine="0"/>
        <w:rPr>
          <w:rFonts w:cs="Arial" w:eastAsiaTheme="minorEastAsia"/>
          <w:sz w:val="22"/>
          <w:u w:val="single"/>
          <w:lang w:val="ro-RO"/>
        </w:rPr>
      </w:pPr>
      <w:r>
        <w:rPr>
          <w:rFonts w:cs="Arial" w:eastAsiaTheme="minorEastAsia"/>
          <w:sz w:val="22"/>
          <w:u w:val="single"/>
          <w:lang w:val="ro-RO"/>
        </w:rPr>
        <w:t>Localitatea Erghevița</w:t>
      </w:r>
    </w:p>
    <w:p w14:paraId="12713D9A">
      <w:pPr>
        <w:numPr>
          <w:ilvl w:val="0"/>
          <w:numId w:val="16"/>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 mm- De 90mm, cu o lungime L = 2768 m;</w:t>
      </w:r>
    </w:p>
    <w:p w14:paraId="1D54EDCD">
      <w:pPr>
        <w:numPr>
          <w:ilvl w:val="0"/>
          <w:numId w:val="16"/>
        </w:numPr>
        <w:contextualSpacing/>
        <w:rPr>
          <w:rFonts w:cs="Arial" w:eastAsiaTheme="minorEastAsia"/>
          <w:sz w:val="22"/>
          <w:lang w:val="ro-RO"/>
        </w:rPr>
      </w:pPr>
      <w:r>
        <w:rPr>
          <w:rFonts w:cs="Arial" w:eastAsiaTheme="minorEastAsia"/>
          <w:sz w:val="22"/>
          <w:lang w:val="ro-RO"/>
        </w:rPr>
        <w:t>Branșamente noi la consumatori, realizate din conducte din PEID, PE80, RC, PN10 – 85 buc;</w:t>
      </w:r>
    </w:p>
    <w:p w14:paraId="5E33956E">
      <w:pPr>
        <w:numPr>
          <w:ilvl w:val="0"/>
          <w:numId w:val="16"/>
        </w:numPr>
        <w:contextualSpacing/>
        <w:rPr>
          <w:rFonts w:cs="Arial" w:eastAsiaTheme="minorEastAsia"/>
          <w:sz w:val="22"/>
          <w:lang w:val="ro-RO"/>
        </w:rPr>
      </w:pPr>
      <w:r>
        <w:rPr>
          <w:rFonts w:cs="Arial" w:eastAsiaTheme="minorEastAsia"/>
          <w:sz w:val="22"/>
          <w:lang w:val="ro-RO"/>
        </w:rPr>
        <w:t>Cămine de vane;</w:t>
      </w:r>
    </w:p>
    <w:p w14:paraId="7BF8937F">
      <w:pPr>
        <w:numPr>
          <w:ilvl w:val="0"/>
          <w:numId w:val="16"/>
        </w:numPr>
        <w:contextualSpacing/>
        <w:rPr>
          <w:rFonts w:cs="Arial" w:eastAsiaTheme="minorEastAsia"/>
          <w:sz w:val="22"/>
          <w:lang w:val="ro-RO"/>
        </w:rPr>
      </w:pPr>
      <w:r>
        <w:rPr>
          <w:rFonts w:cs="Arial" w:eastAsiaTheme="minorEastAsia"/>
          <w:sz w:val="22"/>
          <w:lang w:val="ro-RO"/>
        </w:rPr>
        <w:t>Integrarea noilor obiecte propuse în sistemul SCADA.</w:t>
      </w:r>
    </w:p>
    <w:p w14:paraId="0A3F569E">
      <w:pPr>
        <w:ind w:firstLine="0"/>
        <w:rPr>
          <w:rFonts w:cs="Arial" w:eastAsiaTheme="minorEastAsia"/>
          <w:sz w:val="22"/>
          <w:u w:val="single"/>
          <w:lang w:val="ro-RO"/>
        </w:rPr>
      </w:pPr>
      <w:r>
        <w:rPr>
          <w:rFonts w:cs="Arial" w:eastAsiaTheme="minorEastAsia"/>
          <w:sz w:val="22"/>
          <w:u w:val="single"/>
          <w:lang w:val="ro-RO"/>
        </w:rPr>
        <w:t>Localitatea Poroina</w:t>
      </w:r>
    </w:p>
    <w:p w14:paraId="3AEA9908">
      <w:pPr>
        <w:numPr>
          <w:ilvl w:val="0"/>
          <w:numId w:val="17"/>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 mm, cu o lungime L = 2140 m;</w:t>
      </w:r>
    </w:p>
    <w:p w14:paraId="54FD9322">
      <w:pPr>
        <w:numPr>
          <w:ilvl w:val="0"/>
          <w:numId w:val="17"/>
        </w:numPr>
        <w:contextualSpacing/>
        <w:rPr>
          <w:rFonts w:cs="Arial" w:eastAsiaTheme="minorEastAsia"/>
          <w:sz w:val="22"/>
          <w:lang w:val="ro-RO"/>
        </w:rPr>
      </w:pPr>
      <w:r>
        <w:rPr>
          <w:rFonts w:cs="Arial" w:eastAsiaTheme="minorEastAsia"/>
          <w:sz w:val="22"/>
          <w:lang w:val="ro-RO"/>
        </w:rPr>
        <w:t>Branșamente noi la consumatori, realizate din conducte din PEID, PE80, RC, PN10 – 75 buc;</w:t>
      </w:r>
    </w:p>
    <w:p w14:paraId="1F026748">
      <w:pPr>
        <w:numPr>
          <w:ilvl w:val="0"/>
          <w:numId w:val="17"/>
        </w:numPr>
        <w:contextualSpacing/>
        <w:rPr>
          <w:rFonts w:cs="Arial" w:eastAsiaTheme="minorEastAsia"/>
          <w:sz w:val="22"/>
          <w:lang w:val="ro-RO"/>
        </w:rPr>
      </w:pPr>
      <w:r>
        <w:rPr>
          <w:rFonts w:cs="Arial" w:eastAsiaTheme="minorEastAsia"/>
          <w:sz w:val="22"/>
          <w:lang w:val="ro-RO"/>
        </w:rPr>
        <w:t>Cămine de vane;</w:t>
      </w:r>
    </w:p>
    <w:p w14:paraId="3A40E629">
      <w:pPr>
        <w:numPr>
          <w:ilvl w:val="0"/>
          <w:numId w:val="17"/>
        </w:numPr>
        <w:contextualSpacing/>
        <w:rPr>
          <w:rFonts w:cs="Arial" w:eastAsiaTheme="minorEastAsia"/>
          <w:sz w:val="22"/>
          <w:lang w:val="ro-RO"/>
        </w:rPr>
      </w:pPr>
      <w:r>
        <w:rPr>
          <w:rFonts w:cs="Arial" w:eastAsiaTheme="minorEastAsia"/>
          <w:sz w:val="22"/>
          <w:lang w:val="ro-RO"/>
        </w:rPr>
        <w:t>Integrarea noilor obiecte propuse în sistemul SCADA.</w:t>
      </w:r>
    </w:p>
    <w:p w14:paraId="66CA84CA">
      <w:pPr>
        <w:ind w:firstLine="0"/>
        <w:rPr>
          <w:rFonts w:cs="Arial" w:eastAsiaTheme="minorEastAsia"/>
          <w:sz w:val="22"/>
          <w:u w:val="single"/>
          <w:lang w:val="ro-RO"/>
        </w:rPr>
      </w:pPr>
      <w:r>
        <w:rPr>
          <w:rFonts w:cs="Arial" w:eastAsiaTheme="minorEastAsia"/>
          <w:sz w:val="22"/>
          <w:u w:val="single"/>
          <w:lang w:val="ro-RO"/>
        </w:rPr>
        <w:t>Localitatea Valea Copcii</w:t>
      </w:r>
    </w:p>
    <w:p w14:paraId="025527AE">
      <w:pPr>
        <w:numPr>
          <w:ilvl w:val="0"/>
          <w:numId w:val="18"/>
        </w:numPr>
        <w:contextualSpacing/>
        <w:rPr>
          <w:rFonts w:cs="Arial" w:eastAsiaTheme="minorEastAsia"/>
          <w:sz w:val="22"/>
          <w:lang w:val="ro-RO"/>
        </w:rPr>
      </w:pPr>
      <w:r>
        <w:rPr>
          <w:rFonts w:cs="Arial" w:eastAsiaTheme="minorEastAsia"/>
          <w:sz w:val="22"/>
          <w:lang w:val="ro-RO"/>
        </w:rPr>
        <w:t>Extindere rețea de distribuție apă potabilă cu conducte din PEID, PE100, RC, PN10, De 63 mm – De90mm, cu o lungime L = 1452 m;</w:t>
      </w:r>
    </w:p>
    <w:p w14:paraId="17E00013">
      <w:pPr>
        <w:numPr>
          <w:ilvl w:val="0"/>
          <w:numId w:val="18"/>
        </w:numPr>
        <w:contextualSpacing/>
        <w:rPr>
          <w:rFonts w:cs="Arial" w:eastAsiaTheme="minorEastAsia"/>
          <w:sz w:val="22"/>
          <w:lang w:val="ro-RO"/>
        </w:rPr>
      </w:pPr>
      <w:r>
        <w:rPr>
          <w:rFonts w:cs="Arial" w:eastAsiaTheme="minorEastAsia"/>
          <w:sz w:val="22"/>
          <w:lang w:val="ro-RO"/>
        </w:rPr>
        <w:t>Branșamente noi la consumatori, realizate din conducte din PEID, PE80, RC, PN10 – 40 buc;</w:t>
      </w:r>
    </w:p>
    <w:p w14:paraId="076FA5C9">
      <w:pPr>
        <w:numPr>
          <w:ilvl w:val="0"/>
          <w:numId w:val="18"/>
        </w:numPr>
        <w:contextualSpacing/>
        <w:rPr>
          <w:rFonts w:cs="Arial" w:eastAsiaTheme="minorEastAsia"/>
          <w:sz w:val="22"/>
          <w:lang w:val="ro-RO"/>
        </w:rPr>
      </w:pPr>
      <w:r>
        <w:rPr>
          <w:rFonts w:cs="Arial" w:eastAsiaTheme="minorEastAsia"/>
          <w:sz w:val="22"/>
          <w:lang w:val="ro-RO"/>
        </w:rPr>
        <w:t>Cămine de vane;</w:t>
      </w:r>
    </w:p>
    <w:p w14:paraId="6137C212">
      <w:pPr>
        <w:numPr>
          <w:ilvl w:val="0"/>
          <w:numId w:val="18"/>
        </w:numPr>
        <w:contextualSpacing/>
        <w:rPr>
          <w:rFonts w:cs="Arial" w:eastAsiaTheme="minorEastAsia"/>
          <w:sz w:val="22"/>
          <w:lang w:val="ro-RO"/>
        </w:rPr>
      </w:pPr>
      <w:r>
        <w:rPr>
          <w:rFonts w:cs="Arial" w:eastAsiaTheme="minorEastAsia"/>
          <w:sz w:val="22"/>
          <w:lang w:val="ro-RO"/>
        </w:rPr>
        <w:t>Integrarea noilor obiecte propuse în sistemul SCADA.</w:t>
      </w:r>
    </w:p>
    <w:p w14:paraId="6DE948F2">
      <w:pPr>
        <w:spacing w:line="276" w:lineRule="auto"/>
        <w:rPr>
          <w:rFonts w:cs="Arial"/>
          <w:sz w:val="22"/>
          <w:lang w:val="ro-RO"/>
        </w:rPr>
      </w:pPr>
    </w:p>
    <w:p w14:paraId="4333352F">
      <w:pPr>
        <w:pStyle w:val="5"/>
        <w:numPr>
          <w:ilvl w:val="3"/>
          <w:numId w:val="8"/>
        </w:numPr>
        <w:spacing w:line="276" w:lineRule="auto"/>
        <w:rPr>
          <w:rFonts w:ascii="Arial" w:hAnsi="Arial" w:cs="Arial"/>
          <w:i w:val="0"/>
          <w:iCs w:val="0"/>
          <w:sz w:val="22"/>
          <w:lang w:val="ro-RO"/>
        </w:rPr>
      </w:pPr>
      <w:r>
        <w:rPr>
          <w:rFonts w:ascii="Arial" w:hAnsi="Arial" w:cs="Arial"/>
          <w:i w:val="0"/>
          <w:iCs w:val="0"/>
          <w:sz w:val="22"/>
          <w:lang w:val="ro-RO"/>
        </w:rPr>
        <w:t xml:space="preserve">Canalizare </w:t>
      </w:r>
    </w:p>
    <w:p w14:paraId="5EDD0098">
      <w:pPr>
        <w:ind w:firstLine="0"/>
        <w:rPr>
          <w:rFonts w:cs="Arial" w:eastAsiaTheme="minorEastAsia"/>
          <w:sz w:val="22"/>
          <w:lang w:val="ro-RO"/>
        </w:rPr>
      </w:pPr>
      <w:r>
        <w:rPr>
          <w:rFonts w:cs="Arial" w:eastAsiaTheme="minorEastAsia"/>
          <w:sz w:val="22"/>
          <w:lang w:val="ro-RO"/>
        </w:rPr>
        <w:t xml:space="preserve">În prezent doar localitatea Șimian dispune de sistem de canalizare centralizat, pe când restul satelor au canalizare în sistem propriu (fosă). </w:t>
      </w:r>
    </w:p>
    <w:p w14:paraId="5F6CA75A">
      <w:pPr>
        <w:ind w:firstLine="0"/>
        <w:rPr>
          <w:rFonts w:cs="Arial" w:eastAsiaTheme="minorEastAsia"/>
          <w:sz w:val="22"/>
          <w:lang w:val="ro-RO"/>
        </w:rPr>
      </w:pPr>
      <w:r>
        <w:rPr>
          <w:rFonts w:cs="Arial" w:eastAsiaTheme="minorEastAsia"/>
          <w:sz w:val="22"/>
          <w:lang w:val="ro-RO"/>
        </w:rPr>
        <w:t>Rețeaua de canalizare a localității Simian este realizată în sistem unitar.</w:t>
      </w:r>
    </w:p>
    <w:p w14:paraId="665D0341">
      <w:pPr>
        <w:ind w:firstLine="0"/>
        <w:rPr>
          <w:rFonts w:cs="Arial" w:eastAsiaTheme="minorEastAsia"/>
          <w:sz w:val="22"/>
          <w:lang w:val="ro-RO"/>
        </w:rPr>
      </w:pPr>
      <w:r>
        <w:rPr>
          <w:rFonts w:cs="Arial" w:eastAsiaTheme="minorEastAsia"/>
          <w:sz w:val="22"/>
          <w:lang w:val="ro-RO"/>
        </w:rPr>
        <w:t>Deficiențe ale sistemului de canalizare:</w:t>
      </w:r>
    </w:p>
    <w:p w14:paraId="1952D378">
      <w:pPr>
        <w:numPr>
          <w:ilvl w:val="0"/>
          <w:numId w:val="19"/>
        </w:numPr>
        <w:contextualSpacing/>
        <w:rPr>
          <w:rFonts w:cs="Arial" w:eastAsiaTheme="minorEastAsia"/>
          <w:sz w:val="22"/>
          <w:lang w:val="ro-RO"/>
        </w:rPr>
      </w:pPr>
      <w:r>
        <w:rPr>
          <w:rFonts w:cs="Arial" w:eastAsiaTheme="minorEastAsia"/>
          <w:sz w:val="22"/>
          <w:lang w:val="ro-RO"/>
        </w:rPr>
        <w:t>Grad de acoperire insuficient;</w:t>
      </w:r>
    </w:p>
    <w:p w14:paraId="198769EE">
      <w:pPr>
        <w:numPr>
          <w:ilvl w:val="0"/>
          <w:numId w:val="19"/>
        </w:numPr>
        <w:contextualSpacing/>
        <w:rPr>
          <w:rFonts w:cs="Arial" w:eastAsiaTheme="minorEastAsia"/>
          <w:sz w:val="22"/>
          <w:lang w:val="ro-RO"/>
        </w:rPr>
      </w:pPr>
      <w:r>
        <w:rPr>
          <w:rFonts w:cs="Arial" w:eastAsiaTheme="minorEastAsia"/>
          <w:sz w:val="22"/>
          <w:lang w:val="ro-RO"/>
        </w:rPr>
        <w:t>Risc asupra sănătății umane.</w:t>
      </w:r>
    </w:p>
    <w:p w14:paraId="7AF77FF0">
      <w:pPr>
        <w:ind w:firstLine="0"/>
        <w:rPr>
          <w:rFonts w:cs="Arial" w:eastAsiaTheme="minorEastAsia"/>
          <w:sz w:val="22"/>
        </w:rPr>
      </w:pPr>
      <w:r>
        <w:rPr>
          <w:rFonts w:cs="Arial" w:eastAsiaTheme="minorEastAsia"/>
          <w:sz w:val="22"/>
          <w:lang w:val="ro-RO"/>
        </w:rPr>
        <w:t>Distribuția satelor din comună în funcție de sistemele de canalizare este următoarea</w:t>
      </w:r>
      <w:r>
        <w:rPr>
          <w:rFonts w:cs="Arial" w:eastAsiaTheme="minorEastAsia"/>
          <w:sz w:val="22"/>
        </w:rPr>
        <w:t>:</w:t>
      </w:r>
    </w:p>
    <w:p w14:paraId="03F40809">
      <w:pPr>
        <w:numPr>
          <w:ilvl w:val="0"/>
          <w:numId w:val="20"/>
        </w:numPr>
        <w:contextualSpacing/>
        <w:rPr>
          <w:rFonts w:cs="Arial" w:eastAsiaTheme="minorEastAsia"/>
          <w:sz w:val="22"/>
          <w:lang w:val="ro-RO"/>
        </w:rPr>
      </w:pPr>
      <w:r>
        <w:rPr>
          <w:rFonts w:cs="Arial" w:eastAsiaTheme="minorEastAsia"/>
          <w:sz w:val="22"/>
          <w:lang w:val="ro-RO"/>
        </w:rPr>
        <w:t>Aglomerarea Drobeta Turnu Severin</w:t>
      </w:r>
      <w:r>
        <w:rPr>
          <w:rFonts w:cs="Arial" w:eastAsiaTheme="minorEastAsia"/>
          <w:sz w:val="22"/>
          <w:lang w:val="en-GB"/>
        </w:rPr>
        <w:t>:</w:t>
      </w:r>
      <w:r>
        <w:rPr>
          <w:rFonts w:cs="Arial" w:eastAsiaTheme="minorEastAsia"/>
          <w:sz w:val="22"/>
          <w:lang w:val="ro-RO"/>
        </w:rPr>
        <w:t xml:space="preserve"> Dudasu, Cerneți</w:t>
      </w:r>
    </w:p>
    <w:p w14:paraId="43E4FFD6">
      <w:pPr>
        <w:ind w:left="720" w:firstLine="0"/>
        <w:contextualSpacing/>
        <w:rPr>
          <w:rFonts w:cs="Arial" w:eastAsiaTheme="minorEastAsia"/>
          <w:sz w:val="22"/>
          <w:lang w:val="ro-RO"/>
        </w:rPr>
      </w:pPr>
      <w:r>
        <w:rPr>
          <w:rFonts w:cs="Arial" w:eastAsiaTheme="minorEastAsia"/>
          <w:sz w:val="22"/>
          <w:lang w:val="ro-RO"/>
        </w:rPr>
        <w:t>Epurarea apelor uzate provenite din aglomerarea Drobeta Turnu Severin se va realiza la stația de epurare din Municipiul Drobeta Turnu Severin.</w:t>
      </w:r>
    </w:p>
    <w:p w14:paraId="433781EB">
      <w:pPr>
        <w:numPr>
          <w:ilvl w:val="0"/>
          <w:numId w:val="20"/>
        </w:numPr>
        <w:contextualSpacing/>
        <w:rPr>
          <w:rFonts w:cs="Arial" w:eastAsiaTheme="minorEastAsia"/>
          <w:sz w:val="22"/>
          <w:lang w:val="ro-RO"/>
        </w:rPr>
      </w:pPr>
      <w:r>
        <w:rPr>
          <w:rFonts w:cs="Arial" w:eastAsiaTheme="minorEastAsia"/>
          <w:sz w:val="22"/>
          <w:lang w:val="ro-RO"/>
        </w:rPr>
        <w:t>Aglomerarea Șimian</w:t>
      </w:r>
      <w:r>
        <w:rPr>
          <w:rFonts w:cs="Arial" w:eastAsiaTheme="minorEastAsia"/>
          <w:sz w:val="22"/>
        </w:rPr>
        <w:t xml:space="preserve">:  </w:t>
      </w:r>
      <w:r>
        <w:rPr>
          <w:rFonts w:cs="Arial" w:eastAsiaTheme="minorEastAsia"/>
          <w:sz w:val="22"/>
          <w:lang w:val="ro-RO"/>
        </w:rPr>
        <w:t>Șimian, Dedovița Nouă</w:t>
      </w:r>
    </w:p>
    <w:p w14:paraId="437FF1A8">
      <w:pPr>
        <w:ind w:left="720" w:firstLine="0"/>
        <w:contextualSpacing/>
        <w:rPr>
          <w:rFonts w:cs="Arial" w:eastAsiaTheme="minorEastAsia"/>
          <w:sz w:val="22"/>
          <w:lang w:val="ro-RO"/>
        </w:rPr>
      </w:pPr>
      <w:r>
        <w:rPr>
          <w:rFonts w:cs="Arial" w:eastAsiaTheme="minorEastAsia"/>
          <w:sz w:val="22"/>
          <w:lang w:val="ro-RO"/>
        </w:rPr>
        <w:t>Epurarea apelor uzate provenite din aglomerarea Simian se va realiza la stația de epurare din Drobeta Turnu Severin.</w:t>
      </w:r>
    </w:p>
    <w:p w14:paraId="28136974">
      <w:pPr>
        <w:contextualSpacing/>
        <w:rPr>
          <w:rFonts w:cs="Arial" w:eastAsiaTheme="minorEastAsia"/>
          <w:sz w:val="22"/>
          <w:lang w:val="ro-RO"/>
        </w:rPr>
      </w:pPr>
      <w:r>
        <w:rPr>
          <w:rFonts w:cs="Arial" w:eastAsiaTheme="minorEastAsia"/>
          <w:sz w:val="22"/>
          <w:lang w:val="ro-RO"/>
        </w:rPr>
        <w:t>În prezent există 2 proiecte pentru construirea rețelei de canalizare „Rețea canalizare și stație de epurare în zona Calea Hinovei Sat Șimian, Comuna Șimian, Județul Mehedinți„ și „Rețea Canalizare în Satele Dedovița Nouă, Sat Erghevita și Sat Poroina Comuna Șimian, Județul Mehedinți„.</w:t>
      </w:r>
    </w:p>
    <w:p w14:paraId="1E669958">
      <w:pPr>
        <w:ind w:firstLine="0"/>
        <w:rPr>
          <w:rFonts w:cs="Arial" w:eastAsiaTheme="minorEastAsia"/>
          <w:sz w:val="22"/>
          <w:lang w:val="ro-RO"/>
        </w:rPr>
      </w:pPr>
      <w:r>
        <w:rPr>
          <w:rFonts w:cs="Arial" w:eastAsiaTheme="minorEastAsia"/>
          <w:sz w:val="22"/>
          <w:lang w:val="ro-RO"/>
        </w:rPr>
        <w:t>În cadrul  “Proiectul regional de dezvoltare a infrastructurii de apă și apă uzată în Judetul Mehedinți în perioada 2014-2020”, sunt propuse următoarele:</w:t>
      </w:r>
    </w:p>
    <w:p w14:paraId="61157A3E">
      <w:pPr>
        <w:numPr>
          <w:ilvl w:val="0"/>
          <w:numId w:val="21"/>
        </w:numPr>
        <w:contextualSpacing/>
        <w:rPr>
          <w:rFonts w:cs="Arial" w:eastAsiaTheme="minorEastAsia"/>
          <w:sz w:val="22"/>
          <w:lang w:val="ro-RO"/>
        </w:rPr>
      </w:pPr>
      <w:r>
        <w:rPr>
          <w:rFonts w:cs="Arial" w:eastAsiaTheme="minorEastAsia"/>
          <w:sz w:val="22"/>
          <w:lang w:val="ro-RO"/>
        </w:rPr>
        <w:t>Extinderea rețelei de canalizare (inclusive racorduri) ;</w:t>
      </w:r>
    </w:p>
    <w:p w14:paraId="0FFF7BFC">
      <w:pPr>
        <w:numPr>
          <w:ilvl w:val="0"/>
          <w:numId w:val="21"/>
        </w:numPr>
        <w:contextualSpacing/>
        <w:rPr>
          <w:rFonts w:cs="Arial" w:eastAsiaTheme="minorEastAsia"/>
          <w:sz w:val="22"/>
          <w:lang w:val="ro-RO"/>
        </w:rPr>
      </w:pPr>
      <w:r>
        <w:rPr>
          <w:rFonts w:cs="Arial" w:eastAsiaTheme="minorEastAsia"/>
          <w:sz w:val="22"/>
          <w:lang w:val="ro-RO"/>
        </w:rPr>
        <w:t>Stații de pompare apă uzată menajară noi;</w:t>
      </w:r>
    </w:p>
    <w:p w14:paraId="574435C2">
      <w:pPr>
        <w:numPr>
          <w:ilvl w:val="0"/>
          <w:numId w:val="21"/>
        </w:numPr>
        <w:contextualSpacing/>
        <w:rPr>
          <w:rFonts w:cs="Arial" w:eastAsiaTheme="minorEastAsia"/>
          <w:sz w:val="22"/>
          <w:lang w:val="ro-RO"/>
        </w:rPr>
      </w:pPr>
      <w:r>
        <w:rPr>
          <w:rFonts w:cs="Arial" w:eastAsiaTheme="minorEastAsia"/>
          <w:sz w:val="22"/>
          <w:lang w:val="ro-RO"/>
        </w:rPr>
        <w:t>Conducte noi de refulare apă uzată menajeră.</w:t>
      </w:r>
    </w:p>
    <w:p w14:paraId="6ECF2AB1">
      <w:pPr>
        <w:ind w:firstLine="0"/>
        <w:rPr>
          <w:rFonts w:cs="Arial" w:eastAsiaTheme="minorEastAsia"/>
          <w:sz w:val="22"/>
          <w:lang w:val="ro-RO"/>
        </w:rPr>
      </w:pPr>
      <w:r>
        <w:rPr>
          <w:rFonts w:cs="Arial" w:eastAsiaTheme="minorEastAsia"/>
          <w:sz w:val="22"/>
          <w:lang w:val="ro-RO"/>
        </w:rPr>
        <w:t>Sunt propuse astfel prin acest proiect următoarele măsuri:</w:t>
      </w:r>
    </w:p>
    <w:p w14:paraId="1CA5B2A0">
      <w:pPr>
        <w:ind w:firstLine="0"/>
        <w:rPr>
          <w:rFonts w:cs="Arial" w:eastAsiaTheme="minorEastAsia"/>
          <w:sz w:val="22"/>
          <w:u w:val="single"/>
          <w:lang w:val="ro-RO"/>
        </w:rPr>
      </w:pPr>
      <w:r>
        <w:rPr>
          <w:rFonts w:cs="Arial" w:eastAsiaTheme="minorEastAsia"/>
          <w:sz w:val="22"/>
          <w:u w:val="single"/>
          <w:lang w:val="ro-RO"/>
        </w:rPr>
        <w:t>Localitatea Dudașu:</w:t>
      </w:r>
    </w:p>
    <w:p w14:paraId="1BC27460">
      <w:pPr>
        <w:numPr>
          <w:ilvl w:val="0"/>
          <w:numId w:val="22"/>
        </w:numPr>
        <w:contextualSpacing/>
        <w:rPr>
          <w:rFonts w:cs="Arial" w:eastAsiaTheme="minorEastAsia"/>
          <w:sz w:val="22"/>
          <w:lang w:val="ro-RO"/>
        </w:rPr>
      </w:pPr>
      <w:r>
        <w:rPr>
          <w:rFonts w:cs="Arial" w:eastAsiaTheme="minorEastAsia"/>
          <w:sz w:val="22"/>
          <w:lang w:val="ro-RO"/>
        </w:rPr>
        <w:t>Extindere rețea de canalizare ape uzate menajere, cu conducte PVC, SN8, Dn 250 mm, L= 1549 m;</w:t>
      </w:r>
    </w:p>
    <w:p w14:paraId="0DF74EF6">
      <w:pPr>
        <w:numPr>
          <w:ilvl w:val="0"/>
          <w:numId w:val="22"/>
        </w:numPr>
        <w:contextualSpacing/>
        <w:rPr>
          <w:rFonts w:cs="Arial" w:eastAsiaTheme="minorEastAsia"/>
          <w:sz w:val="22"/>
          <w:lang w:val="ro-RO"/>
        </w:rPr>
      </w:pPr>
      <w:r>
        <w:rPr>
          <w:rFonts w:cs="Arial" w:eastAsiaTheme="minorEastAsia"/>
          <w:sz w:val="22"/>
          <w:lang w:val="ro-RO"/>
        </w:rPr>
        <w:t>Cămine de vizitare aferente rețelei de canalizare;</w:t>
      </w:r>
    </w:p>
    <w:p w14:paraId="639CDCCD">
      <w:pPr>
        <w:numPr>
          <w:ilvl w:val="0"/>
          <w:numId w:val="22"/>
        </w:numPr>
        <w:contextualSpacing/>
        <w:rPr>
          <w:rFonts w:cs="Arial" w:eastAsiaTheme="minorEastAsia"/>
          <w:sz w:val="22"/>
          <w:lang w:val="ro-RO"/>
        </w:rPr>
      </w:pPr>
      <w:r>
        <w:rPr>
          <w:rFonts w:cs="Arial" w:eastAsiaTheme="minorEastAsia"/>
          <w:sz w:val="22"/>
          <w:lang w:val="ro-RO"/>
        </w:rPr>
        <w:t>Stații de pompare a apelor uzate – 5 buc.;</w:t>
      </w:r>
    </w:p>
    <w:p w14:paraId="13CF8F79">
      <w:pPr>
        <w:numPr>
          <w:ilvl w:val="0"/>
          <w:numId w:val="22"/>
        </w:numPr>
        <w:contextualSpacing/>
        <w:rPr>
          <w:rFonts w:cs="Arial" w:eastAsiaTheme="minorEastAsia"/>
          <w:sz w:val="22"/>
          <w:lang w:val="ro-RO"/>
        </w:rPr>
      </w:pPr>
      <w:r>
        <w:rPr>
          <w:rFonts w:cs="Arial" w:eastAsiaTheme="minorEastAsia"/>
          <w:sz w:val="22"/>
          <w:lang w:val="ro-RO"/>
        </w:rPr>
        <w:t>Conducte de refulare aferente stațiilor de pompare, din PEID, PN 10, De 90 mm, L = 569 m;</w:t>
      </w:r>
    </w:p>
    <w:p w14:paraId="1CBFD71F">
      <w:pPr>
        <w:numPr>
          <w:ilvl w:val="0"/>
          <w:numId w:val="22"/>
        </w:numPr>
        <w:contextualSpacing/>
        <w:rPr>
          <w:rFonts w:cs="Arial" w:eastAsiaTheme="minorEastAsia"/>
          <w:sz w:val="22"/>
          <w:lang w:val="ro-RO"/>
        </w:rPr>
      </w:pPr>
      <w:r>
        <w:rPr>
          <w:rFonts w:cs="Arial" w:eastAsiaTheme="minorEastAsia"/>
          <w:sz w:val="22"/>
          <w:lang w:val="ro-RO"/>
        </w:rPr>
        <w:t>Racorduri noi la consumatori, realizate din conducte din PVC, Dn 160 mm – 78 buc.;</w:t>
      </w:r>
    </w:p>
    <w:p w14:paraId="06AC82A7">
      <w:pPr>
        <w:numPr>
          <w:ilvl w:val="0"/>
          <w:numId w:val="22"/>
        </w:numPr>
        <w:contextualSpacing/>
        <w:rPr>
          <w:rFonts w:cs="Arial" w:eastAsiaTheme="minorEastAsia"/>
          <w:sz w:val="22"/>
          <w:lang w:val="ro-RO"/>
        </w:rPr>
      </w:pPr>
      <w:r>
        <w:rPr>
          <w:rFonts w:cs="Arial" w:eastAsiaTheme="minorEastAsia"/>
          <w:sz w:val="22"/>
          <w:lang w:val="ro-RO"/>
        </w:rPr>
        <w:t>Integrarea noilor obiecte propuse în sistemul SCADA.</w:t>
      </w:r>
    </w:p>
    <w:p w14:paraId="231CF199">
      <w:pPr>
        <w:ind w:firstLine="0"/>
        <w:rPr>
          <w:rFonts w:cs="Arial" w:eastAsiaTheme="minorEastAsia"/>
          <w:sz w:val="22"/>
          <w:u w:val="single"/>
          <w:lang w:val="ro-RO"/>
        </w:rPr>
      </w:pPr>
      <w:r>
        <w:rPr>
          <w:rFonts w:cs="Arial" w:eastAsiaTheme="minorEastAsia"/>
          <w:sz w:val="22"/>
          <w:u w:val="single"/>
          <w:lang w:val="ro-RO"/>
        </w:rPr>
        <w:t>Localitatea Cerneți:</w:t>
      </w:r>
    </w:p>
    <w:p w14:paraId="286D4583">
      <w:pPr>
        <w:numPr>
          <w:ilvl w:val="0"/>
          <w:numId w:val="23"/>
        </w:numPr>
        <w:contextualSpacing/>
        <w:rPr>
          <w:rFonts w:cs="Arial" w:eastAsiaTheme="minorEastAsia"/>
          <w:sz w:val="22"/>
          <w:lang w:val="ro-RO"/>
        </w:rPr>
      </w:pPr>
      <w:r>
        <w:rPr>
          <w:rFonts w:cs="Arial" w:eastAsiaTheme="minorEastAsia"/>
          <w:sz w:val="22"/>
          <w:lang w:val="ro-RO"/>
        </w:rPr>
        <w:t>Extindere rețea de canalizare ape uzate menajere, cu conducte din PVC, SN8, Dn 250 mm, L= 6269 m;</w:t>
      </w:r>
    </w:p>
    <w:p w14:paraId="03107EA5">
      <w:pPr>
        <w:numPr>
          <w:ilvl w:val="0"/>
          <w:numId w:val="23"/>
        </w:numPr>
        <w:contextualSpacing/>
        <w:rPr>
          <w:rFonts w:cs="Arial" w:eastAsiaTheme="minorEastAsia"/>
          <w:sz w:val="22"/>
          <w:lang w:val="ro-RO"/>
        </w:rPr>
      </w:pPr>
      <w:r>
        <w:rPr>
          <w:rFonts w:cs="Arial" w:eastAsiaTheme="minorEastAsia"/>
          <w:sz w:val="22"/>
          <w:lang w:val="ro-RO"/>
        </w:rPr>
        <w:t>Cămine de vizitare aferente rețelei de canalizare;</w:t>
      </w:r>
    </w:p>
    <w:p w14:paraId="2AD7416E">
      <w:pPr>
        <w:numPr>
          <w:ilvl w:val="0"/>
          <w:numId w:val="23"/>
        </w:numPr>
        <w:contextualSpacing/>
        <w:rPr>
          <w:rFonts w:cs="Arial" w:eastAsiaTheme="minorEastAsia"/>
          <w:sz w:val="22"/>
          <w:lang w:val="ro-RO"/>
        </w:rPr>
      </w:pPr>
      <w:r>
        <w:rPr>
          <w:rFonts w:cs="Arial" w:eastAsiaTheme="minorEastAsia"/>
          <w:sz w:val="22"/>
          <w:lang w:val="ro-RO"/>
        </w:rPr>
        <w:t>Stații de pompare a apelor uzate – 16 buc.;</w:t>
      </w:r>
    </w:p>
    <w:p w14:paraId="1EF5E95D">
      <w:pPr>
        <w:numPr>
          <w:ilvl w:val="0"/>
          <w:numId w:val="23"/>
        </w:numPr>
        <w:contextualSpacing/>
        <w:rPr>
          <w:rFonts w:cs="Arial" w:eastAsiaTheme="minorEastAsia"/>
          <w:sz w:val="22"/>
          <w:lang w:val="ro-RO"/>
        </w:rPr>
      </w:pPr>
      <w:r>
        <w:rPr>
          <w:rFonts w:cs="Arial" w:eastAsiaTheme="minorEastAsia"/>
          <w:sz w:val="22"/>
          <w:lang w:val="ro-RO"/>
        </w:rPr>
        <w:t>Conducte de refulare aferente stațiilor de pompare, din PEID, PN 10, De 90 mm, L = 3968 m;</w:t>
      </w:r>
    </w:p>
    <w:p w14:paraId="5B065B71">
      <w:pPr>
        <w:numPr>
          <w:ilvl w:val="0"/>
          <w:numId w:val="23"/>
        </w:numPr>
        <w:contextualSpacing/>
        <w:rPr>
          <w:rFonts w:cs="Arial" w:eastAsiaTheme="minorEastAsia"/>
          <w:sz w:val="22"/>
          <w:lang w:val="ro-RO"/>
        </w:rPr>
      </w:pPr>
      <w:r>
        <w:rPr>
          <w:rFonts w:cs="Arial" w:eastAsiaTheme="minorEastAsia"/>
          <w:sz w:val="22"/>
          <w:lang w:val="ro-RO"/>
        </w:rPr>
        <w:t>Racorduri noi la consumatori, realizate din conducte din PVC, Dn 160 mm – 177 buc.;</w:t>
      </w:r>
    </w:p>
    <w:p w14:paraId="1DEEE2E8">
      <w:pPr>
        <w:numPr>
          <w:ilvl w:val="0"/>
          <w:numId w:val="23"/>
        </w:numPr>
        <w:contextualSpacing/>
        <w:rPr>
          <w:rFonts w:cs="Arial" w:eastAsiaTheme="minorEastAsia"/>
          <w:sz w:val="22"/>
          <w:lang w:val="ro-RO"/>
        </w:rPr>
      </w:pPr>
      <w:r>
        <w:rPr>
          <w:rFonts w:cs="Arial" w:eastAsiaTheme="minorEastAsia"/>
          <w:sz w:val="22"/>
          <w:lang w:val="ro-RO"/>
        </w:rPr>
        <w:t>Integrarea noilor obiecte propuse în sistemul SCADA.</w:t>
      </w:r>
    </w:p>
    <w:p w14:paraId="7083A47D">
      <w:pPr>
        <w:ind w:firstLine="0"/>
        <w:rPr>
          <w:rFonts w:cs="Arial" w:eastAsiaTheme="minorEastAsia"/>
          <w:sz w:val="22"/>
          <w:u w:val="single"/>
          <w:lang w:val="ro-RO"/>
        </w:rPr>
      </w:pPr>
      <w:r>
        <w:rPr>
          <w:rFonts w:cs="Arial" w:eastAsiaTheme="minorEastAsia"/>
          <w:sz w:val="22"/>
          <w:u w:val="single"/>
          <w:lang w:val="ro-RO"/>
        </w:rPr>
        <w:t>Localitatea Simian:</w:t>
      </w:r>
    </w:p>
    <w:p w14:paraId="054A30D2">
      <w:pPr>
        <w:numPr>
          <w:ilvl w:val="0"/>
          <w:numId w:val="24"/>
        </w:numPr>
        <w:contextualSpacing/>
        <w:rPr>
          <w:rFonts w:cs="Arial" w:eastAsiaTheme="minorEastAsia"/>
          <w:sz w:val="22"/>
          <w:lang w:val="ro-RO"/>
        </w:rPr>
      </w:pPr>
      <w:r>
        <w:rPr>
          <w:rFonts w:cs="Arial" w:eastAsiaTheme="minorEastAsia"/>
          <w:sz w:val="22"/>
          <w:lang w:val="ro-RO"/>
        </w:rPr>
        <w:t>Extindere rețea de canalizare ape uzate menajere, cu conducte din PVC, SN8, Dn 250 mm, L= 4171</w:t>
      </w:r>
      <w:r>
        <w:rPr>
          <w:rFonts w:cs="Arial" w:eastAsiaTheme="minorEastAsia"/>
          <w:sz w:val="22"/>
        </w:rPr>
        <w:t xml:space="preserve"> </w:t>
      </w:r>
      <w:r>
        <w:rPr>
          <w:rFonts w:cs="Arial" w:eastAsiaTheme="minorEastAsia"/>
          <w:sz w:val="22"/>
          <w:lang w:val="ro-RO"/>
        </w:rPr>
        <w:t>m;</w:t>
      </w:r>
    </w:p>
    <w:p w14:paraId="0A3FA0DD">
      <w:pPr>
        <w:numPr>
          <w:ilvl w:val="0"/>
          <w:numId w:val="24"/>
        </w:numPr>
        <w:contextualSpacing/>
        <w:rPr>
          <w:rFonts w:cs="Arial" w:eastAsiaTheme="minorEastAsia"/>
          <w:sz w:val="22"/>
          <w:lang w:val="ro-RO"/>
        </w:rPr>
      </w:pPr>
      <w:r>
        <w:rPr>
          <w:rFonts w:cs="Arial" w:eastAsiaTheme="minorEastAsia"/>
          <w:sz w:val="22"/>
          <w:lang w:val="ro-RO"/>
        </w:rPr>
        <w:t>Cămine de vizitare aferente rețelei de canalizare;</w:t>
      </w:r>
    </w:p>
    <w:p w14:paraId="460AF715">
      <w:pPr>
        <w:numPr>
          <w:ilvl w:val="0"/>
          <w:numId w:val="24"/>
        </w:numPr>
        <w:contextualSpacing/>
        <w:rPr>
          <w:rFonts w:cs="Arial" w:eastAsiaTheme="minorEastAsia"/>
          <w:sz w:val="22"/>
          <w:lang w:val="ro-RO"/>
        </w:rPr>
      </w:pPr>
      <w:r>
        <w:rPr>
          <w:rFonts w:cs="Arial" w:eastAsiaTheme="minorEastAsia"/>
          <w:sz w:val="22"/>
          <w:lang w:val="ro-RO"/>
        </w:rPr>
        <w:t>Stații de pompare a apelor uzate – 8 buc.;</w:t>
      </w:r>
    </w:p>
    <w:p w14:paraId="2DB5AE55">
      <w:pPr>
        <w:numPr>
          <w:ilvl w:val="0"/>
          <w:numId w:val="24"/>
        </w:numPr>
        <w:contextualSpacing/>
        <w:rPr>
          <w:rFonts w:cs="Arial" w:eastAsiaTheme="minorEastAsia"/>
          <w:sz w:val="22"/>
          <w:lang w:val="ro-RO"/>
        </w:rPr>
      </w:pPr>
      <w:r>
        <w:rPr>
          <w:rFonts w:cs="Arial" w:eastAsiaTheme="minorEastAsia"/>
          <w:sz w:val="22"/>
          <w:lang w:val="ro-RO"/>
        </w:rPr>
        <w:t>Conducte de refulare aferente stațiilor de pompare, din PEID, PN 10, De 90 mm, L = 1383 m;</w:t>
      </w:r>
    </w:p>
    <w:p w14:paraId="2DEDB438">
      <w:pPr>
        <w:numPr>
          <w:ilvl w:val="0"/>
          <w:numId w:val="24"/>
        </w:numPr>
        <w:contextualSpacing/>
        <w:rPr>
          <w:rFonts w:cs="Arial" w:eastAsiaTheme="minorEastAsia"/>
          <w:sz w:val="22"/>
          <w:lang w:val="ro-RO"/>
        </w:rPr>
      </w:pPr>
      <w:r>
        <w:rPr>
          <w:rFonts w:cs="Arial" w:eastAsiaTheme="minorEastAsia"/>
          <w:sz w:val="22"/>
          <w:lang w:val="ro-RO"/>
        </w:rPr>
        <w:t>Racorduri noi la consumatori, realizate din conducte din PVC, Dn 160 mm – 169 buc.;</w:t>
      </w:r>
    </w:p>
    <w:p w14:paraId="13278ACF">
      <w:pPr>
        <w:numPr>
          <w:ilvl w:val="0"/>
          <w:numId w:val="24"/>
        </w:numPr>
        <w:contextualSpacing/>
        <w:rPr>
          <w:rFonts w:cs="Arial" w:eastAsiaTheme="minorEastAsia"/>
          <w:sz w:val="22"/>
          <w:lang w:val="ro-RO"/>
        </w:rPr>
      </w:pPr>
      <w:r>
        <w:rPr>
          <w:rFonts w:cs="Arial" w:eastAsiaTheme="minorEastAsia"/>
          <w:sz w:val="22"/>
          <w:lang w:val="ro-RO"/>
        </w:rPr>
        <w:t>Integrarea noilor obiecte propuse în sistemul SCADA.</w:t>
      </w:r>
    </w:p>
    <w:p w14:paraId="6F04DF18">
      <w:pPr>
        <w:ind w:firstLine="0"/>
        <w:rPr>
          <w:rFonts w:cs="Arial" w:eastAsiaTheme="minorEastAsia"/>
          <w:sz w:val="22"/>
          <w:u w:val="single"/>
          <w:lang w:val="ro-RO"/>
        </w:rPr>
      </w:pPr>
      <w:r>
        <w:rPr>
          <w:rFonts w:cs="Arial" w:eastAsiaTheme="minorEastAsia"/>
          <w:sz w:val="22"/>
          <w:u w:val="single"/>
          <w:lang w:val="ro-RO"/>
        </w:rPr>
        <w:t>Localitatea Dedovița Nouă:</w:t>
      </w:r>
    </w:p>
    <w:p w14:paraId="28EF88E4">
      <w:pPr>
        <w:numPr>
          <w:ilvl w:val="0"/>
          <w:numId w:val="25"/>
        </w:numPr>
        <w:contextualSpacing/>
        <w:rPr>
          <w:rFonts w:cs="Arial" w:eastAsiaTheme="minorEastAsia"/>
          <w:sz w:val="22"/>
          <w:lang w:val="ro-RO"/>
        </w:rPr>
      </w:pPr>
      <w:r>
        <w:rPr>
          <w:rFonts w:cs="Arial" w:eastAsiaTheme="minorEastAsia"/>
          <w:sz w:val="22"/>
          <w:lang w:val="ro-RO"/>
        </w:rPr>
        <w:t>Extindere rețea de canalizare ape uzate menajere, cu conducte din PVC, SN8, Dn 250 mm, L= 1161 m;</w:t>
      </w:r>
    </w:p>
    <w:p w14:paraId="08635F55">
      <w:pPr>
        <w:numPr>
          <w:ilvl w:val="0"/>
          <w:numId w:val="25"/>
        </w:numPr>
        <w:contextualSpacing/>
        <w:rPr>
          <w:rFonts w:cs="Arial" w:eastAsiaTheme="minorEastAsia"/>
          <w:sz w:val="22"/>
          <w:lang w:val="ro-RO"/>
        </w:rPr>
      </w:pPr>
      <w:r>
        <w:rPr>
          <w:rFonts w:cs="Arial" w:eastAsiaTheme="minorEastAsia"/>
          <w:sz w:val="22"/>
          <w:lang w:val="ro-RO"/>
        </w:rPr>
        <w:t>Cămine de vizitare aferente rețelei de canalizare;</w:t>
      </w:r>
    </w:p>
    <w:p w14:paraId="674D04D0">
      <w:pPr>
        <w:numPr>
          <w:ilvl w:val="0"/>
          <w:numId w:val="25"/>
        </w:numPr>
        <w:contextualSpacing/>
        <w:rPr>
          <w:rFonts w:cs="Arial" w:eastAsiaTheme="minorEastAsia"/>
          <w:sz w:val="22"/>
          <w:lang w:val="ro-RO"/>
        </w:rPr>
      </w:pPr>
      <w:r>
        <w:rPr>
          <w:rFonts w:cs="Arial" w:eastAsiaTheme="minorEastAsia"/>
          <w:sz w:val="22"/>
          <w:lang w:val="ro-RO"/>
        </w:rPr>
        <w:t>Stații de pompare a apelor uzate – 1 buc.;</w:t>
      </w:r>
    </w:p>
    <w:p w14:paraId="10BE7D9A">
      <w:pPr>
        <w:numPr>
          <w:ilvl w:val="0"/>
          <w:numId w:val="25"/>
        </w:numPr>
        <w:contextualSpacing/>
        <w:rPr>
          <w:rFonts w:cs="Arial" w:eastAsiaTheme="minorEastAsia"/>
          <w:sz w:val="22"/>
          <w:lang w:val="ro-RO"/>
        </w:rPr>
      </w:pPr>
      <w:r>
        <w:rPr>
          <w:rFonts w:cs="Arial" w:eastAsiaTheme="minorEastAsia"/>
          <w:sz w:val="22"/>
          <w:lang w:val="ro-RO"/>
        </w:rPr>
        <w:t>Conducte de refulare aferente stațiilor de pompare, din PEID, PN 10, De 90 mm, L = 138 m;</w:t>
      </w:r>
    </w:p>
    <w:p w14:paraId="76E52ED8">
      <w:pPr>
        <w:numPr>
          <w:ilvl w:val="0"/>
          <w:numId w:val="25"/>
        </w:numPr>
        <w:contextualSpacing/>
        <w:rPr>
          <w:rFonts w:cs="Arial" w:eastAsiaTheme="minorEastAsia"/>
          <w:sz w:val="22"/>
          <w:lang w:val="ro-RO"/>
        </w:rPr>
      </w:pPr>
      <w:r>
        <w:rPr>
          <w:rFonts w:cs="Arial" w:eastAsiaTheme="minorEastAsia"/>
          <w:sz w:val="22"/>
          <w:lang w:val="ro-RO"/>
        </w:rPr>
        <w:t>Racorduri noi la consumatori, realizate din conducte din PVC, Dn 160 mm – 17 buc.;</w:t>
      </w:r>
    </w:p>
    <w:p w14:paraId="5143139F">
      <w:pPr>
        <w:numPr>
          <w:ilvl w:val="0"/>
          <w:numId w:val="25"/>
        </w:numPr>
        <w:contextualSpacing/>
        <w:rPr>
          <w:rFonts w:cs="Arial" w:eastAsiaTheme="minorEastAsia"/>
          <w:sz w:val="22"/>
          <w:lang w:val="ro-RO"/>
        </w:rPr>
      </w:pPr>
      <w:r>
        <w:rPr>
          <w:rFonts w:cs="Arial" w:eastAsiaTheme="minorEastAsia"/>
          <w:sz w:val="22"/>
          <w:lang w:val="ro-RO"/>
        </w:rPr>
        <w:t>Integrarea noilor obiecte propuse în sistemul SCADA. canalizare ape uzate menajere, cu conducte din PVC, SN8, Dn 250 mm, L= 4171</w:t>
      </w:r>
    </w:p>
    <w:p w14:paraId="596DBC77">
      <w:pPr>
        <w:spacing w:line="276" w:lineRule="auto"/>
        <w:rPr>
          <w:rFonts w:cs="Arial"/>
          <w:sz w:val="22"/>
          <w:lang w:val="ro-RO"/>
        </w:rPr>
      </w:pPr>
    </w:p>
    <w:p w14:paraId="7F752C3F">
      <w:pPr>
        <w:pStyle w:val="5"/>
        <w:numPr>
          <w:ilvl w:val="3"/>
          <w:numId w:val="8"/>
        </w:numPr>
        <w:rPr>
          <w:rFonts w:ascii="Arial" w:hAnsi="Arial" w:cs="Arial"/>
          <w:i w:val="0"/>
          <w:iCs w:val="0"/>
          <w:sz w:val="22"/>
          <w:lang w:val="ro-RO"/>
        </w:rPr>
      </w:pPr>
      <w:r>
        <w:rPr>
          <w:rFonts w:ascii="Arial" w:hAnsi="Arial" w:cs="Arial"/>
          <w:i w:val="0"/>
          <w:iCs w:val="0"/>
          <w:sz w:val="22"/>
          <w:lang w:val="ro-RO"/>
        </w:rPr>
        <w:t xml:space="preserve">Alimentarea cu gaze </w:t>
      </w:r>
    </w:p>
    <w:p w14:paraId="27B5DB67">
      <w:pPr>
        <w:rPr>
          <w:rFonts w:cs="Arial"/>
          <w:sz w:val="22"/>
          <w:lang w:val="ro-RO"/>
        </w:rPr>
      </w:pPr>
      <w:r>
        <w:rPr>
          <w:rFonts w:cs="Arial"/>
          <w:sz w:val="22"/>
          <w:lang w:val="ro-RO"/>
        </w:rPr>
        <w:t>Alimentarea cu gaze naturale a populației din comuna Șimian a înregistrat progrese semnificative în ultimii ani, ca parte a unui amplu program național de extindere a infrastructurii de distribuție a gazelor naturale, finanțat din fonduri europene și guvernamentale. Proiectul de înființare a sistemului inteligent de distribuție a gazelor naturale în Șimian, Cerneți și Dedovița Nouă beneficiază de o finanțare de peste 24,5 milioane lei și se află în faza finală de implementare, vizând racordarea gospodăriilor și a consumatorilor noncasnici la rețeaua modernă de gaze.</w:t>
      </w:r>
    </w:p>
    <w:p w14:paraId="06AEC468">
      <w:pPr>
        <w:rPr>
          <w:rFonts w:cs="Arial"/>
          <w:sz w:val="22"/>
          <w:lang w:val="ro-RO"/>
        </w:rPr>
      </w:pPr>
      <w:r>
        <w:rPr>
          <w:rFonts w:cs="Arial"/>
          <w:sz w:val="22"/>
          <w:lang w:val="ro-RO"/>
        </w:rPr>
        <w:t>La nivel județean, investițiile strategice în infrastructura de gaze, precum conducta Prunișor–Orșova–Băile Herculane–Jupa, consolidează alimentarea cu gaze în Mehedinți și facilitează trecerea la surse de energie mai curate și eficiente, în conformitate cu obiectivele de decarbonizare asumate de România. Până la finalul anului 2026, peste 44.000 de gospodării la nivel național, inclusiv cele din comuna Șimian, vor avea acces la gaze naturale, reducând dependența de lemne pentru încălzire și contribuind la reducerea emisiilor de gaze cu efect de seră.</w:t>
      </w:r>
    </w:p>
    <w:p w14:paraId="5B8F49D5">
      <w:pPr>
        <w:rPr>
          <w:rFonts w:cs="Arial"/>
          <w:sz w:val="22"/>
          <w:lang w:val="ro-RO"/>
        </w:rPr>
      </w:pPr>
      <w:r>
        <w:rPr>
          <w:rFonts w:cs="Arial"/>
          <w:sz w:val="22"/>
          <w:lang w:val="ro-RO"/>
        </w:rPr>
        <w:t>Extinderea rețelei de gaze naturale aduce beneficii directe locuitorilor prin creșterea confortului termic, reducerea costurilor de încălzire și îmbunătățirea calității vieții. Totodată, această infrastructură modernă susține dezvoltarea economică locală, atragerea de investiții și creșterea atractivității comunei pentru noi locuitori și investitori.</w:t>
      </w:r>
    </w:p>
    <w:p w14:paraId="31C342B9">
      <w:pPr>
        <w:pStyle w:val="5"/>
        <w:numPr>
          <w:ilvl w:val="3"/>
          <w:numId w:val="8"/>
        </w:numPr>
        <w:rPr>
          <w:rFonts w:ascii="Arial" w:hAnsi="Arial" w:cs="Arial"/>
          <w:i w:val="0"/>
          <w:iCs w:val="0"/>
          <w:sz w:val="22"/>
          <w:lang w:val="ro-RO"/>
        </w:rPr>
      </w:pPr>
      <w:r>
        <w:rPr>
          <w:rFonts w:ascii="Arial" w:hAnsi="Arial" w:cs="Arial"/>
          <w:i w:val="0"/>
          <w:iCs w:val="0"/>
          <w:sz w:val="22"/>
          <w:lang w:val="ro-RO"/>
        </w:rPr>
        <w:t xml:space="preserve">Alimentarea cu caldură </w:t>
      </w:r>
    </w:p>
    <w:p w14:paraId="08785FFF">
      <w:pPr>
        <w:rPr>
          <w:rFonts w:cs="Arial"/>
          <w:sz w:val="22"/>
          <w:lang w:val="ro-RO"/>
        </w:rPr>
      </w:pPr>
      <w:r>
        <w:rPr>
          <w:rFonts w:cs="Arial"/>
          <w:sz w:val="22"/>
          <w:lang w:val="ro-RO"/>
        </w:rPr>
        <w:t>Asigurarea energiei termice pentru populația din comuna Șimian a cunoscut o îmbunătățire semnificativă în ultimii ani, odată cu implementarea proiectului de introducere a rețelei de gaze naturale. Începând cu iarna 2023-2024, locuitorii comunei beneficiază de posibilitatea de a se încălzi cu gaz, datorită investițiilor realizate prin Ministerul Dezvoltării și Programul „Anghel Saligny”. În prezent, rețeaua de distribuție a gazului a fost extinsă în majoritatea satelor componente, iar autoritățile locale au în plan finalizarea racordării tuturor celor nouă sate ale comunei în perioada imediat următoare, cu o investiție suplimentară de aproximativ 4 milioane de euro.</w:t>
      </w:r>
    </w:p>
    <w:p w14:paraId="4923D1BC">
      <w:pPr>
        <w:rPr>
          <w:rFonts w:cs="Arial"/>
          <w:sz w:val="22"/>
          <w:lang w:val="ro-RO"/>
        </w:rPr>
      </w:pPr>
      <w:r>
        <w:rPr>
          <w:rFonts w:cs="Arial"/>
          <w:sz w:val="22"/>
          <w:lang w:val="ro-RO"/>
        </w:rPr>
        <w:t>Această modernizare oferă locuitorilor o alternativă mai eficientă și mai puțin poluantă față de sistemele tradiționale de încălzire cu lemne, care încă predomină în mediul rural la nivel național. Totodată, pe lângă racordarea la rețeaua de gaze, mulți locuitori utilizează centrale termice individuale pe gaz sau pe lemne, adaptate nevoilor gospodăriilor. Extinderea rețelei de gaze naturale contribuie la creșterea confortului termic, la reducerea costurilor de încălzire și la îmbunătățirea calității vieții, susținând totodată dezvoltarea durabilă și atractivitatea comunei pentru noi investiții și pentru creșterea populației.</w:t>
      </w:r>
    </w:p>
    <w:p w14:paraId="0BCAE681">
      <w:pPr>
        <w:rPr>
          <w:rFonts w:cs="Arial"/>
          <w:sz w:val="22"/>
          <w:lang w:val="ro-RO"/>
        </w:rPr>
      </w:pPr>
    </w:p>
    <w:p w14:paraId="5B20FF94">
      <w:pPr>
        <w:pStyle w:val="5"/>
        <w:numPr>
          <w:ilvl w:val="3"/>
          <w:numId w:val="8"/>
        </w:numPr>
        <w:rPr>
          <w:rFonts w:ascii="Arial" w:hAnsi="Arial" w:cs="Arial"/>
          <w:i w:val="0"/>
          <w:iCs w:val="0"/>
          <w:sz w:val="22"/>
          <w:lang w:val="ro-RO"/>
        </w:rPr>
      </w:pPr>
      <w:r>
        <w:rPr>
          <w:rFonts w:ascii="Arial" w:hAnsi="Arial" w:cs="Arial"/>
          <w:i w:val="0"/>
          <w:iCs w:val="0"/>
          <w:sz w:val="22"/>
          <w:lang w:val="ro-RO"/>
        </w:rPr>
        <w:t xml:space="preserve">Telefonie mobilă şi fixă </w:t>
      </w:r>
    </w:p>
    <w:p w14:paraId="4E198552">
      <w:pPr>
        <w:rPr>
          <w:rFonts w:cs="Arial"/>
          <w:sz w:val="22"/>
          <w:lang w:val="ro-RO"/>
        </w:rPr>
      </w:pPr>
      <w:r>
        <w:rPr>
          <w:rFonts w:cs="Arial"/>
          <w:sz w:val="22"/>
          <w:lang w:val="ro-RO"/>
        </w:rPr>
        <w:t xml:space="preserve">În comuna Șimian, rețelele de telefonie mobilă acoperă majoritatea zonelor locuite, asigurând accesul la servicii de voce și date pentru populație și agenții economici. Potrivit datelor furnizate de Autoritatea Națională pentru Administrare și Reglementare în Comunicații (ANCOM), toți operatorii de telefonie mobilă activi pe piața din România – RCS&amp;RDS, Orange, Telekom Mobile și Vodafone – asigură o acoperire de peste 98% din populație cu servicii de voce mobilă, iar la nivelul comunei Șimian, semnalul este disponibil atât în localitatea de reședință, cât și în satele componente. Utilizatorii pot verifica în timp real nivelul semnalului pentru fiecare operator și tehnologie (2G, 3G, 4G) pe platforma oficială aisemnal.ro, realizată pe baza măsurătorilor din teren. În ultimii ani, acoperirea cu internet mobil de mare viteză (4G) s-a extins semnificativ, facilitând accesul la servicii digitale, comunicare rapidă și activități economice moderne. Totuși, în anumite zone izolate sau cu relief dificil, pot exista fluctuații ale semnalului, însă operatorii continuă investițiile pentru îmbunătățirea rețelelor și extinderea acoperirii la nivel rural. </w:t>
      </w:r>
    </w:p>
    <w:p w14:paraId="45BC5855">
      <w:pPr>
        <w:rPr>
          <w:rFonts w:cs="Arial"/>
          <w:sz w:val="22"/>
          <w:lang w:val="ro-RO"/>
        </w:rPr>
      </w:pPr>
    </w:p>
    <w:p w14:paraId="67FF9391">
      <w:pPr>
        <w:pStyle w:val="5"/>
        <w:numPr>
          <w:ilvl w:val="3"/>
          <w:numId w:val="8"/>
        </w:numPr>
        <w:rPr>
          <w:rFonts w:ascii="Arial" w:hAnsi="Arial" w:cs="Arial"/>
          <w:i w:val="0"/>
          <w:iCs w:val="0"/>
          <w:sz w:val="22"/>
          <w:lang w:val="ro-RO"/>
        </w:rPr>
      </w:pPr>
      <w:r>
        <w:rPr>
          <w:rFonts w:ascii="Arial" w:hAnsi="Arial" w:cs="Arial"/>
          <w:i w:val="0"/>
          <w:iCs w:val="0"/>
          <w:sz w:val="22"/>
          <w:lang w:val="ro-RO"/>
        </w:rPr>
        <w:t xml:space="preserve">Internet şi televiziune </w:t>
      </w:r>
    </w:p>
    <w:p w14:paraId="39439FE6">
      <w:pPr>
        <w:rPr>
          <w:rFonts w:cs="Arial"/>
          <w:sz w:val="22"/>
          <w:lang w:val="ro-RO"/>
        </w:rPr>
      </w:pPr>
      <w:r>
        <w:rPr>
          <w:rFonts w:cs="Arial"/>
          <w:sz w:val="22"/>
          <w:lang w:val="ro-RO"/>
        </w:rPr>
        <w:t>Accesul la internet fix și servicii de televiziune este asigurat în principal de operatori naționali precum Digi (RCS &amp; RDS) și Telekom, care oferă pachete adaptate mediului rural. În zonele unde există infrastructură de fibră optică, locuitorii beneficiază de conexiuni la internet cu viteze de până la 300 Mbps, iar pachetele de televiziune prin cablu includ peste 140 de programe TV, atât în format analogic, cât și digital. Digi este recunoscut drept principalul furnizor de internet fix în gospodăriile din vestul și sud-vestul țării, inclusiv în județul Mehedinți, având o ofertă competitivă din punct de vedere al raportului calitate/preț și acoperind majoritatea satelor din comună.</w:t>
      </w:r>
    </w:p>
    <w:p w14:paraId="725A0974">
      <w:pPr>
        <w:rPr>
          <w:rFonts w:cs="Arial"/>
          <w:sz w:val="22"/>
          <w:lang w:val="ro-RO"/>
        </w:rPr>
      </w:pPr>
      <w:r>
        <w:rPr>
          <w:rFonts w:cs="Arial"/>
          <w:sz w:val="22"/>
          <w:lang w:val="ro-RO"/>
        </w:rPr>
        <w:t>Majoritatea gospodăriilor care au internet fix optează pentru pachete integrate, ce includ și servicii de televiziune și, adesea, telefonie fixă, avantajul principal fiind costul total mai mic și accesul la o gamă largă de servicii. În plus, extinderea rețelelor de internet de mare viteză (4G) facilitează accesul la servicii digitale și streaming online, contribuind la digitalizarea comunității și la creșterea calității vieții.</w:t>
      </w:r>
    </w:p>
    <w:p w14:paraId="45764967">
      <w:pPr>
        <w:rPr>
          <w:rFonts w:cs="Arial"/>
          <w:sz w:val="22"/>
          <w:lang w:val="ro-RO"/>
        </w:rPr>
      </w:pPr>
      <w:r>
        <w:rPr>
          <w:rFonts w:cs="Arial"/>
          <w:sz w:val="22"/>
          <w:lang w:val="ro-RO"/>
        </w:rPr>
        <w:t>Pe lângă furnizorii tradiționali, comuna Șimian beneficiază și de platforme digitale moderne pentru partajarea și gestionarea conținutului media, cu un nivel ridicat de securitate și fiabilitate, ceea ce susține dezvoltarea serviciilor publice și a activităților economice locale. Astfel, infrastructura de internet și televiziune din Șimian este bine dezvoltată și în continuă extindere, asigurând locuitorilor acces rapid la informație, divertisment și servicii digitale moderne.</w:t>
      </w:r>
    </w:p>
    <w:p w14:paraId="33AB305F">
      <w:pPr>
        <w:rPr>
          <w:rFonts w:cs="Arial"/>
          <w:sz w:val="22"/>
          <w:lang w:val="ro-RO"/>
        </w:rPr>
      </w:pPr>
    </w:p>
    <w:p w14:paraId="21129800">
      <w:pPr>
        <w:pStyle w:val="5"/>
        <w:numPr>
          <w:ilvl w:val="3"/>
          <w:numId w:val="8"/>
        </w:numPr>
        <w:rPr>
          <w:rFonts w:ascii="Arial" w:hAnsi="Arial" w:cs="Arial"/>
          <w:i w:val="0"/>
          <w:iCs w:val="0"/>
          <w:sz w:val="22"/>
          <w:lang w:val="ro-RO"/>
        </w:rPr>
      </w:pPr>
      <w:r>
        <w:rPr>
          <w:rFonts w:ascii="Arial" w:hAnsi="Arial" w:cs="Arial"/>
          <w:i w:val="0"/>
          <w:iCs w:val="0"/>
          <w:sz w:val="22"/>
          <w:lang w:val="ro-RO"/>
        </w:rPr>
        <w:t>Rețeaua de drumuri</w:t>
      </w:r>
    </w:p>
    <w:p w14:paraId="7335644D">
      <w:pPr>
        <w:rPr>
          <w:rFonts w:cs="Arial"/>
          <w:sz w:val="22"/>
        </w:rPr>
      </w:pPr>
      <w:r>
        <w:rPr>
          <w:rFonts w:cs="Arial"/>
          <w:sz w:val="22"/>
        </w:rPr>
        <w:t>În interiorul comunei, rețeaua de drumuri comunale și străzi secundare asigură accesul către toate satele componente și zonele de interes economic sau social. Drumurile comunale DC21 (Șimian–Valea Copcii) și DC23 (parțial modernizat, între Șimian, Cerneți și Cula lui Tudor) sunt vitale pentru mobilitatea locală. Totodată, DJ 607A (Drobeta Turnu Severin–Cerneți–Hușnicioara) este modernizat și facilitează legătura între satele Cerneți și Dedovița Nouă, însă unele străzi din interiorul localităților, precum cele din Cerneți, Dubovița Veche și Poroina, rămân nemodernizate și devin greu practicabile în condiții meteo nefavorabile.</w:t>
      </w:r>
    </w:p>
    <w:p w14:paraId="6255C140">
      <w:pPr>
        <w:rPr>
          <w:rFonts w:cs="Arial"/>
          <w:sz w:val="22"/>
        </w:rPr>
      </w:pPr>
      <w:r>
        <w:rPr>
          <w:rFonts w:cs="Arial"/>
          <w:sz w:val="22"/>
        </w:rPr>
        <w:t>În ultimii ani, au fost demarate lucrări de modernizare a infrastructurii rutiere, inclusiv montarea de parapete de siguranță pe DN6, între Șimian și Ghelmegioaia, pentru separarea sensurilor de mers și reducerea riscului de accidente grave. De asemenea, proiecte cu finanțare europeană și guvernamentală vizează reabilitarea și asfaltarea unor drumuri comunale și străzi locale, precum DC23 și ulițe din satele aparținătoare, pentru a îmbunătăți accesul și condițiile de trai ale locuitorilor.</w:t>
      </w:r>
    </w:p>
    <w:p w14:paraId="2951BFE3">
      <w:pPr>
        <w:rPr>
          <w:rFonts w:cs="Arial"/>
          <w:sz w:val="22"/>
          <w:highlight w:val="yellow"/>
          <w:lang w:val="ro-RO"/>
        </w:rPr>
      </w:pPr>
      <w:r>
        <w:rPr>
          <w:rFonts w:cs="Arial"/>
          <w:sz w:val="22"/>
        </w:rPr>
        <w:t>Rețeaua de străzi din Șimian este în proces de modernizare continuă, cu accent pe siguranță, accesibilitate și integrare în rețeaua rutieră regională, ceea ce susține dezvoltarea economică și socială a comunei.</w:t>
      </w:r>
    </w:p>
    <w:p w14:paraId="057243DC">
      <w:pPr>
        <w:pStyle w:val="4"/>
        <w:numPr>
          <w:ilvl w:val="2"/>
          <w:numId w:val="8"/>
        </w:numPr>
        <w:rPr>
          <w:rFonts w:cs="Arial"/>
          <w:sz w:val="22"/>
          <w:szCs w:val="22"/>
          <w:lang w:val="ro-RO"/>
        </w:rPr>
      </w:pPr>
      <w:bookmarkStart w:id="35" w:name="_Toc201926316"/>
      <w:r>
        <w:rPr>
          <w:rFonts w:cs="Arial"/>
          <w:sz w:val="22"/>
          <w:szCs w:val="22"/>
          <w:lang w:val="ro-RO"/>
        </w:rPr>
        <w:t>Mediu. Gospodărie comunală</w:t>
      </w:r>
      <w:bookmarkEnd w:id="35"/>
    </w:p>
    <w:p w14:paraId="1F87869F">
      <w:pPr>
        <w:rPr>
          <w:rFonts w:cs="Arial"/>
          <w:sz w:val="22"/>
          <w:lang w:val="ro-RO"/>
        </w:rPr>
      </w:pPr>
      <w:r>
        <w:rPr>
          <w:rFonts w:cs="Arial"/>
          <w:sz w:val="22"/>
          <w:lang w:val="ro-RO"/>
        </w:rPr>
        <w:t xml:space="preserve">Pe teritoriul comunei a funcționat până în 2010 groapa de gunoi a Municipiului Drobeta Turnu Severin, care a fost închisă pentru ecologizare. Aceasta reprezentă un pericol ecologic datorită proximității sale de râul Topolnița ce se varsă în Dunăre. </w:t>
      </w:r>
    </w:p>
    <w:p w14:paraId="2D4455D5">
      <w:pPr>
        <w:rPr>
          <w:rFonts w:cs="Arial"/>
          <w:sz w:val="22"/>
          <w:lang w:val="ro-RO"/>
        </w:rPr>
      </w:pPr>
      <w:r>
        <w:rPr>
          <w:rFonts w:cs="Arial"/>
          <w:sz w:val="22"/>
          <w:lang w:val="ro-RO"/>
        </w:rPr>
        <w:t>Comuna dispune de servicii de salubrizare care constau în colectarea săptămânală a deșeurilor din satele Dudașu, Șimian și Cerneți.</w:t>
      </w:r>
    </w:p>
    <w:p w14:paraId="2A086139">
      <w:pPr>
        <w:rPr>
          <w:rFonts w:cs="Arial"/>
          <w:sz w:val="22"/>
          <w:lang w:val="ro-RO"/>
        </w:rPr>
      </w:pPr>
      <w:r>
        <w:rPr>
          <w:rFonts w:cs="Arial"/>
          <w:sz w:val="22"/>
          <w:lang w:val="ro-RO"/>
        </w:rPr>
        <w:t>În 2023 a fost lansat proiectul pentru construirea unui centru de colectare deșeuri prin aport voluntar, prin fonduri PNRR și are ca termen de finalizare anul 2024.</w:t>
      </w:r>
    </w:p>
    <w:p w14:paraId="73D0D16D">
      <w:pPr>
        <w:rPr>
          <w:rFonts w:cs="Arial"/>
          <w:sz w:val="22"/>
          <w:lang w:val="ro-RO"/>
        </w:rPr>
      </w:pPr>
      <w:r>
        <w:rPr>
          <w:rFonts w:cs="Arial"/>
          <w:sz w:val="22"/>
          <w:lang w:val="ro-RO"/>
        </w:rPr>
        <w:t>Comuna Șimian face parte din Asociația de Dezvoltare Intercomunitară pentru salubrizare Mehedinți. Iar la nivelul comunei, serviciul de salubrizare este delegată gestiunea către un operator.</w:t>
      </w:r>
    </w:p>
    <w:p w14:paraId="472E140D">
      <w:pPr>
        <w:rPr>
          <w:rFonts w:cs="Arial"/>
          <w:sz w:val="22"/>
          <w:lang w:val="ro-RO"/>
        </w:rPr>
      </w:pPr>
      <w:r>
        <w:rPr>
          <w:rFonts w:cs="Arial"/>
          <w:sz w:val="22"/>
          <w:lang w:val="ro-RO"/>
        </w:rPr>
        <w:t>La nivelul Comunei Șimian este în implementare și proiectul ,,Construire centru de colectare deseuri prin aport voluntar - CAV,,.</w:t>
      </w:r>
    </w:p>
    <w:p w14:paraId="6619D375">
      <w:pPr>
        <w:rPr>
          <w:rFonts w:cs="Arial"/>
          <w:sz w:val="22"/>
          <w:lang w:val="ro-RO"/>
        </w:rPr>
      </w:pPr>
    </w:p>
    <w:p w14:paraId="151FDB4F">
      <w:pPr>
        <w:pStyle w:val="52"/>
        <w:spacing w:after="0" w:line="360" w:lineRule="auto"/>
        <w:rPr>
          <w:rFonts w:ascii="Arial" w:hAnsi="Arial" w:cs="Arial" w:eastAsiaTheme="majorEastAsia"/>
          <w:b/>
          <w:bCs w:val="0"/>
          <w:szCs w:val="22"/>
          <w:lang w:val="ro-RO"/>
        </w:rPr>
      </w:pPr>
      <w:bookmarkStart w:id="36" w:name="_Toc141391163"/>
      <w:r>
        <w:rPr>
          <w:rFonts w:ascii="Arial" w:hAnsi="Arial" w:cs="Arial" w:eastAsiaTheme="majorEastAsia"/>
          <w:b/>
          <w:bCs w:val="0"/>
          <w:szCs w:val="22"/>
          <w:lang w:val="ro-RO"/>
        </w:rPr>
        <w:t>Poluarea aerului</w:t>
      </w:r>
      <w:bookmarkEnd w:id="36"/>
    </w:p>
    <w:p w14:paraId="022D2A43">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 xml:space="preserve">În teritoriul administrativ al Comunei Șimian, aerul este supus poluării cu gaze și particule. Datorită poziției sale apropiate de Municipiul Drobeta Turnu Severin și a zonelor industriale din proximitate, dar și de pe teritoriul comunei, poluarea aerului a fost mai ridicată de-a lungul timpului. </w:t>
      </w:r>
    </w:p>
    <w:p w14:paraId="19BB0789">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 xml:space="preserve">În anii 1990, au fost înregistrate valori ridicate în perimetrul Combinatului de Apă Grea. În 2013, cenușa provenită de la combinat se așeza peste satele Dudașu și Cerneți, însă în 2015 acesta a fost închis. </w:t>
      </w:r>
    </w:p>
    <w:p w14:paraId="371CD948">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O altă sursă de poluare cu noxe o reprezintă DN 6 care trece prin satul Șimian care afectează de asemenea calitatea locuitorii prin poluarea fonică care este mai mare comparativ cu celelalte sate ale comunei.</w:t>
      </w:r>
    </w:p>
    <w:p w14:paraId="68C866B6">
      <w:pPr>
        <w:pStyle w:val="52"/>
        <w:spacing w:after="0" w:line="360" w:lineRule="auto"/>
        <w:rPr>
          <w:rFonts w:ascii="Arial" w:hAnsi="Arial" w:cs="Arial" w:eastAsiaTheme="majorEastAsia"/>
          <w:b/>
          <w:bCs w:val="0"/>
          <w:szCs w:val="22"/>
          <w:lang w:val="ro-RO"/>
        </w:rPr>
      </w:pPr>
      <w:bookmarkStart w:id="37" w:name="_Toc141391164"/>
      <w:r>
        <w:rPr>
          <w:rFonts w:ascii="Arial" w:hAnsi="Arial" w:cs="Arial" w:eastAsiaTheme="majorEastAsia"/>
          <w:b/>
          <w:bCs w:val="0"/>
          <w:szCs w:val="22"/>
          <w:lang w:val="ro-RO"/>
        </w:rPr>
        <w:t>Risc de inundaţii</w:t>
      </w:r>
      <w:bookmarkEnd w:id="37"/>
    </w:p>
    <w:p w14:paraId="6B193FDD">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În perioadele cu precipitații bogate, apele inundă Valea Topolniței sub formă de viituri, în special iarna și primăvara cu o frecvență de 30-40%.</w:t>
      </w:r>
    </w:p>
    <w:p w14:paraId="42B3E2C4">
      <w:pPr>
        <w:pStyle w:val="52"/>
        <w:spacing w:after="0" w:line="360" w:lineRule="auto"/>
        <w:rPr>
          <w:rFonts w:ascii="Arial" w:hAnsi="Arial" w:cs="Arial" w:eastAsiaTheme="majorEastAsia"/>
          <w:b/>
          <w:bCs w:val="0"/>
          <w:szCs w:val="22"/>
          <w:lang w:val="ro-RO"/>
        </w:rPr>
      </w:pPr>
      <w:bookmarkStart w:id="38" w:name="_Toc141391165"/>
      <w:r>
        <w:rPr>
          <w:rFonts w:ascii="Arial" w:hAnsi="Arial" w:cs="Arial" w:eastAsiaTheme="majorEastAsia"/>
          <w:b/>
          <w:bCs w:val="0"/>
          <w:szCs w:val="22"/>
          <w:lang w:val="ro-RO"/>
        </w:rPr>
        <w:t>Risc de instabilitate</w:t>
      </w:r>
      <w:bookmarkEnd w:id="38"/>
    </w:p>
    <w:p w14:paraId="0A0F5F2F">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 xml:space="preserve">Conform PATN, Secţiunea a V-a – Arii cu risc natural, aprobată prin legea Nr.575/22  OCT. 2001, comuna Șimian are un potențial ridicat de alunecare a terenurilor de tip primar. </w:t>
      </w:r>
    </w:p>
    <w:p w14:paraId="0AC349B9">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Procesele de pantă sunt specifice întregului areal, cu intensități diferite de manifestare în funcție de factorii potențiali și declanșatori existenți în fiecare sector. Acestea sunt</w:t>
      </w:r>
      <w:r>
        <w:rPr>
          <w:rFonts w:ascii="Arial" w:hAnsi="Arial" w:cs="Arial" w:eastAsiaTheme="minorEastAsia"/>
          <w:szCs w:val="22"/>
        </w:rPr>
        <w:t xml:space="preserve">: descompunerea </w:t>
      </w:r>
      <w:r>
        <w:rPr>
          <w:rFonts w:ascii="Arial" w:hAnsi="Arial" w:cs="Arial" w:eastAsiaTheme="minorEastAsia"/>
          <w:szCs w:val="22"/>
          <w:lang w:val="ro-RO"/>
        </w:rPr>
        <w:t xml:space="preserve">biochimică, dezagregarea rocilor, procesele de deplasare în masă, prăbușirile, alunecările de teren care sunt favorizate de prezența argilelor, lipsa de vegetație matură, supra-umectare, zgomote, vibrații, afectarea unor strate freatice prin lucrări agricole, miniere sau sub acțiunea gravitației. </w:t>
      </w:r>
    </w:p>
    <w:p w14:paraId="00EFE1CD">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Suprafața afectată de alunecări este redusă și este localizată pe versanții înclinați. Lățimea lor este variabilă, de ordinul zecilor de metri.</w:t>
      </w:r>
    </w:p>
    <w:p w14:paraId="0DB633AB">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Arealele cu alunecări au o repartiție redusă la Erghevița.</w:t>
      </w:r>
    </w:p>
    <w:p w14:paraId="21E8D175">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 xml:space="preserve">Fenomenele de alunecare, ravenare, eroziune în suprafață sunt procese predominante pentru bazinul Topolniței din Depresiunea Severinului. Au fost identificate câteva areale cu ravenare sau torențialitate ce implică probleme de degradare a mediului. Ele se concentrează pe stânga bazinului Topolnița. </w:t>
      </w:r>
    </w:p>
    <w:p w14:paraId="7BB84C88">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La contactul cu Podișul Piemontan Getic, versanții au în general expunere vestică, cu înclinări de 30</w:t>
      </w:r>
      <w:r>
        <w:rPr>
          <w:rFonts w:ascii="Arial" w:hAnsi="Arial" w:cs="Arial" w:eastAsiaTheme="minorEastAsia"/>
          <w:szCs w:val="22"/>
          <w:vertAlign w:val="superscript"/>
          <w:lang w:val="ro-RO"/>
        </w:rPr>
        <w:t xml:space="preserve">o </w:t>
      </w:r>
      <w:r>
        <w:rPr>
          <w:rFonts w:ascii="Arial" w:hAnsi="Arial" w:cs="Arial" w:eastAsiaTheme="minorEastAsia"/>
          <w:szCs w:val="22"/>
          <w:lang w:val="ro-RO"/>
        </w:rPr>
        <w:t>de aceea sunt cei mai afectați de fenomenele de ravenare cu evoluții până la văi cu caracter torențial (valea Băranului).</w:t>
      </w:r>
    </w:p>
    <w:p w14:paraId="685CE97D">
      <w:pPr>
        <w:pStyle w:val="52"/>
        <w:spacing w:after="0" w:line="360" w:lineRule="auto"/>
        <w:rPr>
          <w:rFonts w:ascii="Arial" w:hAnsi="Arial" w:cs="Arial" w:eastAsiaTheme="minorEastAsia"/>
          <w:szCs w:val="22"/>
          <w:lang w:val="ro-RO"/>
        </w:rPr>
      </w:pPr>
      <w:r>
        <w:rPr>
          <w:rFonts w:ascii="Arial" w:hAnsi="Arial" w:cs="Arial" w:eastAsiaTheme="minorEastAsia"/>
          <w:szCs w:val="22"/>
          <w:lang w:val="ro-RO"/>
        </w:rPr>
        <w:t>În bazinul Topolniței din Depresiunea Severinului, fenomenele geomorfologice de versant îmbracă forme și aspecte variate, de la elemente simple (ravene active) până la complexe organizate (ogașe, văi cu eroziune torențială), cu apă doar în sezonul ploios. Pe stânga râului Topolnița și a afluenților săi, la localitatea Cerneți suprafața marcată de aceste fenomene este de mare.</w:t>
      </w:r>
    </w:p>
    <w:p w14:paraId="4DD2A90A">
      <w:pPr>
        <w:ind w:firstLine="0"/>
        <w:rPr>
          <w:rFonts w:cs="Arial"/>
          <w:i/>
          <w:iCs/>
          <w:sz w:val="22"/>
          <w:lang w:val="ro-RO"/>
        </w:rPr>
      </w:pPr>
    </w:p>
    <w:p w14:paraId="0BA1F3A4">
      <w:pPr>
        <w:pStyle w:val="3"/>
        <w:numPr>
          <w:ilvl w:val="1"/>
          <w:numId w:val="8"/>
        </w:numPr>
        <w:rPr>
          <w:rFonts w:cs="Arial"/>
          <w:sz w:val="22"/>
          <w:szCs w:val="22"/>
          <w:lang w:val="ro-RO"/>
        </w:rPr>
      </w:pPr>
      <w:bookmarkStart w:id="39" w:name="_Toc201926317"/>
      <w:r>
        <w:rPr>
          <w:rFonts w:cs="Arial"/>
          <w:sz w:val="22"/>
          <w:szCs w:val="22"/>
          <w:lang w:val="ro-RO"/>
        </w:rPr>
        <w:t>ECONOMIE</w:t>
      </w:r>
      <w:bookmarkEnd w:id="39"/>
    </w:p>
    <w:p w14:paraId="6CC078BC">
      <w:pPr>
        <w:pStyle w:val="4"/>
        <w:numPr>
          <w:ilvl w:val="2"/>
          <w:numId w:val="8"/>
        </w:numPr>
        <w:rPr>
          <w:rFonts w:cs="Arial"/>
          <w:sz w:val="22"/>
          <w:szCs w:val="22"/>
          <w:lang w:val="ro-RO"/>
        </w:rPr>
      </w:pPr>
      <w:bookmarkStart w:id="40" w:name="_Toc201926318"/>
      <w:r>
        <w:rPr>
          <w:rFonts w:cs="Arial"/>
          <w:sz w:val="22"/>
          <w:szCs w:val="22"/>
          <w:lang w:val="ro-RO"/>
        </w:rPr>
        <w:t>Comerţ şi servicii</w:t>
      </w:r>
      <w:bookmarkEnd w:id="40"/>
      <w:r>
        <w:rPr>
          <w:rFonts w:cs="Arial"/>
          <w:sz w:val="22"/>
          <w:szCs w:val="22"/>
          <w:lang w:val="ro-RO"/>
        </w:rPr>
        <w:t xml:space="preserve"> </w:t>
      </w:r>
    </w:p>
    <w:p w14:paraId="0A7FA011">
      <w:pPr>
        <w:rPr>
          <w:rFonts w:cs="Arial"/>
          <w:sz w:val="22"/>
          <w:lang w:val="ro-RO"/>
        </w:rPr>
      </w:pPr>
      <w:r>
        <w:rPr>
          <w:rFonts w:cs="Arial"/>
          <w:sz w:val="22"/>
          <w:lang w:val="ro-RO"/>
        </w:rPr>
        <w:t>Pe teritoriul comunei își desfășoară activitățile un număr de aproximativ 250 firme, companii sau PFA. Majoritatea sunt implicate în comerțul cu amănuntul.</w:t>
      </w:r>
    </w:p>
    <w:p w14:paraId="0366C371">
      <w:pPr>
        <w:pStyle w:val="4"/>
        <w:numPr>
          <w:ilvl w:val="2"/>
          <w:numId w:val="8"/>
        </w:numPr>
        <w:rPr>
          <w:rFonts w:cs="Arial"/>
          <w:sz w:val="22"/>
          <w:szCs w:val="22"/>
          <w:lang w:val="ro-RO"/>
        </w:rPr>
      </w:pPr>
      <w:bookmarkStart w:id="41" w:name="_Toc201926319"/>
      <w:r>
        <w:rPr>
          <w:rFonts w:cs="Arial"/>
          <w:sz w:val="22"/>
          <w:szCs w:val="22"/>
          <w:lang w:val="ro-RO"/>
        </w:rPr>
        <w:t>Întreprinderi mici şi mijlocii</w:t>
      </w:r>
      <w:bookmarkEnd w:id="41"/>
      <w:r>
        <w:rPr>
          <w:rFonts w:cs="Arial"/>
          <w:sz w:val="22"/>
          <w:szCs w:val="22"/>
          <w:lang w:val="ro-RO"/>
        </w:rPr>
        <w:t xml:space="preserve"> </w:t>
      </w:r>
    </w:p>
    <w:p w14:paraId="59F75776">
      <w:pPr>
        <w:rPr>
          <w:rFonts w:cs="Arial"/>
          <w:sz w:val="22"/>
          <w:lang w:val="ro-RO"/>
        </w:rPr>
      </w:pPr>
      <w:r>
        <w:rPr>
          <w:rFonts w:cs="Arial"/>
          <w:sz w:val="22"/>
          <w:lang w:val="ro-RO"/>
        </w:rPr>
        <w:t>Activitățile de tip industrial, depozitare și construcții din localitatea Șimian, constau în special în prelucrarea și depozitarea produselor agricole, dar există și o serie de unități grupate în zona gării de marfuri și a triajului Șimian (care deservește și Municipiul Drobeta Turnu Severin) pentru depozitare produse petroliere, cereale, lemn, laminate, metal brut, mobilă. Exploatarea minieră Hușnicioara are implicații și în teritoriul comunei Șimian, aici fiind amplasată incinta centrală, depozitul de cărbuni, stația de utilaje etc.</w:t>
      </w:r>
    </w:p>
    <w:p w14:paraId="726F12FD">
      <w:pPr>
        <w:rPr>
          <w:rFonts w:cs="Arial"/>
          <w:sz w:val="22"/>
          <w:lang w:val="ro-RO"/>
        </w:rPr>
      </w:pPr>
      <w:r>
        <w:rPr>
          <w:rFonts w:cs="Arial"/>
          <w:sz w:val="22"/>
          <w:lang w:val="ro-RO"/>
        </w:rPr>
        <w:t>Pe raza Comunei Șimian își desfășoară activitatea microîntreprinderi, întreprinderi mici și mijlocii. În comună, societățile comerciale au ca obiect de activitate exploatarea forestieră și prelucrarea lemnului, transportul, turismul, comerțul, construcțiile, confecțiile textile și agricultura. Potrivit datelor din online, numărul firmelor (SRL, PFA etc) este de aproximativ 250.</w:t>
      </w:r>
    </w:p>
    <w:p w14:paraId="3B1D14A5">
      <w:pPr>
        <w:tabs>
          <w:tab w:val="left" w:pos="284"/>
        </w:tabs>
        <w:spacing w:after="200"/>
        <w:ind w:firstLine="0"/>
        <w:rPr>
          <w:rFonts w:cs="Arial" w:eastAsiaTheme="minorEastAsia"/>
          <w:sz w:val="22"/>
          <w:lang w:val="ro-RO"/>
        </w:rPr>
      </w:pPr>
      <w:r>
        <w:rPr>
          <w:rFonts w:cs="Arial" w:eastAsiaTheme="minorEastAsia"/>
          <w:sz w:val="22"/>
          <w:lang w:val="ro-RO"/>
        </w:rPr>
        <w:t>Pe teritoriul comunei, activitățile industriale sunt de tipul extracției de cărbune care este apoi exploatat la termocentrala Halânga și de depozitare. Activitățile industriale de tipul unităților de industrie locală și depozite sunt amplasate în două zone, una în sud-est și cealaltă în nord-est</w:t>
      </w:r>
    </w:p>
    <w:p w14:paraId="65ADD3F5">
      <w:pPr>
        <w:numPr>
          <w:ilvl w:val="0"/>
          <w:numId w:val="26"/>
        </w:numPr>
        <w:tabs>
          <w:tab w:val="left" w:pos="284"/>
        </w:tabs>
        <w:spacing w:after="200"/>
        <w:contextualSpacing/>
        <w:rPr>
          <w:rFonts w:cs="Arial" w:eastAsiaTheme="minorEastAsia"/>
          <w:sz w:val="22"/>
          <w:lang w:val="ro-RO"/>
        </w:rPr>
      </w:pPr>
      <w:r>
        <w:rPr>
          <w:rFonts w:cs="Arial" w:eastAsiaTheme="minorEastAsia"/>
          <w:sz w:val="22"/>
          <w:lang w:val="ro-RO"/>
        </w:rPr>
        <w:t>Zona de Sud-Est este amplasată la Est de localitatea Șimian și ocupă o suprafață de 16,60 ha. Pe această platformă se găsesc depozit de fier vechi, depozit de plant și secția de drumuri naționale.</w:t>
      </w:r>
    </w:p>
    <w:p w14:paraId="58A94BEC">
      <w:pPr>
        <w:numPr>
          <w:ilvl w:val="0"/>
          <w:numId w:val="26"/>
        </w:numPr>
        <w:tabs>
          <w:tab w:val="left" w:pos="284"/>
        </w:tabs>
        <w:spacing w:after="200"/>
        <w:contextualSpacing/>
        <w:rPr>
          <w:rFonts w:cs="Arial" w:eastAsiaTheme="minorEastAsia"/>
          <w:sz w:val="22"/>
          <w:lang w:val="ro-RO"/>
        </w:rPr>
      </w:pPr>
      <w:r>
        <w:rPr>
          <w:rFonts w:cs="Arial" w:eastAsiaTheme="minorEastAsia"/>
          <w:sz w:val="22"/>
          <w:lang w:val="ro-RO"/>
        </w:rPr>
        <w:t xml:space="preserve">Zona de Nord-Est cuprinde depozitul PECO cu rezervoare și combustibil, depozit de produse petroliere și stația de îmbuteliere. </w:t>
      </w:r>
    </w:p>
    <w:p w14:paraId="71D2887B">
      <w:pPr>
        <w:tabs>
          <w:tab w:val="left" w:pos="284"/>
        </w:tabs>
        <w:ind w:firstLine="0"/>
        <w:rPr>
          <w:rFonts w:cs="Arial" w:eastAsiaTheme="minorEastAsia"/>
          <w:sz w:val="22"/>
          <w:lang w:val="ro-RO"/>
        </w:rPr>
      </w:pPr>
      <w:r>
        <w:rPr>
          <w:rFonts w:cs="Arial" w:eastAsiaTheme="minorEastAsia"/>
          <w:sz w:val="22"/>
          <w:lang w:val="ro-RO"/>
        </w:rPr>
        <w:t>Extracția de cărbune se desfășoară în următoarele mine/depozite:</w:t>
      </w:r>
    </w:p>
    <w:p w14:paraId="34CAB82B">
      <w:pPr>
        <w:numPr>
          <w:ilvl w:val="0"/>
          <w:numId w:val="27"/>
        </w:numPr>
        <w:tabs>
          <w:tab w:val="left" w:pos="284"/>
        </w:tabs>
        <w:contextualSpacing/>
        <w:rPr>
          <w:rFonts w:cs="Arial" w:eastAsiaTheme="minorEastAsia"/>
          <w:sz w:val="22"/>
          <w:lang w:val="ro-RO"/>
        </w:rPr>
      </w:pPr>
      <w:r>
        <w:rPr>
          <w:rFonts w:cs="Arial" w:eastAsiaTheme="minorEastAsia"/>
          <w:sz w:val="22"/>
          <w:lang w:val="ro-RO"/>
        </w:rPr>
        <w:t>Mina II, cu o capacitate de 1500t amplasată în Nord-Estul comunei, ocupând 2,4 ha;</w:t>
      </w:r>
    </w:p>
    <w:p w14:paraId="6008093C">
      <w:pPr>
        <w:numPr>
          <w:ilvl w:val="0"/>
          <w:numId w:val="27"/>
        </w:numPr>
        <w:tabs>
          <w:tab w:val="left" w:pos="284"/>
        </w:tabs>
        <w:contextualSpacing/>
        <w:rPr>
          <w:rFonts w:cs="Arial" w:eastAsiaTheme="minorEastAsia"/>
          <w:sz w:val="22"/>
          <w:lang w:val="ro-RO"/>
        </w:rPr>
      </w:pPr>
      <w:r>
        <w:rPr>
          <w:rFonts w:cs="Arial" w:eastAsiaTheme="minorEastAsia"/>
          <w:sz w:val="22"/>
          <w:lang w:val="ro-RO"/>
        </w:rPr>
        <w:t>Depozitul de carieră cu două platformare în nordul comunei;</w:t>
      </w:r>
    </w:p>
    <w:p w14:paraId="2F5724CE">
      <w:pPr>
        <w:numPr>
          <w:ilvl w:val="0"/>
          <w:numId w:val="27"/>
        </w:numPr>
        <w:tabs>
          <w:tab w:val="left" w:pos="284"/>
        </w:tabs>
        <w:spacing w:after="200"/>
        <w:contextualSpacing/>
        <w:rPr>
          <w:rFonts w:cs="Arial" w:eastAsiaTheme="minorEastAsia"/>
          <w:sz w:val="22"/>
          <w:lang w:val="ro-RO"/>
        </w:rPr>
      </w:pPr>
      <w:r>
        <w:rPr>
          <w:rFonts w:cs="Arial" w:eastAsiaTheme="minorEastAsia"/>
          <w:sz w:val="22"/>
          <w:lang w:val="ro-RO"/>
        </w:rPr>
        <w:t>Depozitul principal de incintă de expediere a cărbunilor pe bandă spre Mina II;</w:t>
      </w:r>
    </w:p>
    <w:p w14:paraId="3D2BBCCA">
      <w:pPr>
        <w:numPr>
          <w:ilvl w:val="0"/>
          <w:numId w:val="27"/>
        </w:numPr>
        <w:tabs>
          <w:tab w:val="left" w:pos="284"/>
        </w:tabs>
        <w:spacing w:after="200"/>
        <w:contextualSpacing/>
        <w:rPr>
          <w:rFonts w:cs="Arial" w:eastAsiaTheme="minorEastAsia"/>
          <w:sz w:val="22"/>
          <w:lang w:val="ro-RO"/>
        </w:rPr>
      </w:pPr>
      <w:r>
        <w:rPr>
          <w:rFonts w:cs="Arial" w:eastAsiaTheme="minorEastAsia"/>
          <w:sz w:val="22"/>
          <w:lang w:val="ro-RO"/>
        </w:rPr>
        <w:t>Depozitul de cărbune din gară.</w:t>
      </w:r>
    </w:p>
    <w:p w14:paraId="51F675F0">
      <w:pPr>
        <w:tabs>
          <w:tab w:val="left" w:pos="284"/>
        </w:tabs>
        <w:ind w:firstLine="0"/>
        <w:rPr>
          <w:rFonts w:cs="Arial" w:eastAsiaTheme="minorEastAsia"/>
          <w:sz w:val="22"/>
          <w:lang w:val="ro-RO"/>
        </w:rPr>
      </w:pPr>
      <w:r>
        <w:rPr>
          <w:rFonts w:cs="Arial" w:eastAsiaTheme="minorEastAsia"/>
          <w:sz w:val="22"/>
          <w:lang w:val="ro-RO"/>
        </w:rPr>
        <w:tab/>
      </w:r>
      <w:r>
        <w:rPr>
          <w:rFonts w:cs="Arial" w:eastAsiaTheme="minorEastAsia"/>
          <w:sz w:val="22"/>
          <w:lang w:val="ro-RO"/>
        </w:rPr>
        <w:tab/>
      </w:r>
      <w:r>
        <w:rPr>
          <w:rFonts w:cs="Arial" w:eastAsiaTheme="minorEastAsia"/>
          <w:sz w:val="22"/>
          <w:lang w:val="ro-RO"/>
        </w:rPr>
        <w:t xml:space="preserve">Valea Copcii are un istoric vechi de mai bine de un secol privind exploatarea cărbunelui. Mina a fost dată în funcțiune în anul 1901 și a funcționat până în 1929, ca să fie redeschisă apoi de-abia în perioada socialistă, în 1980. Datorită schimbărilor socio-economice și a economiei post-industriale, mina a suferit după anul 1990. </w:t>
      </w:r>
    </w:p>
    <w:p w14:paraId="771748E2">
      <w:pPr>
        <w:tabs>
          <w:tab w:val="left" w:pos="284"/>
        </w:tabs>
        <w:ind w:firstLine="0"/>
        <w:rPr>
          <w:rFonts w:cs="Arial" w:eastAsiaTheme="minorEastAsia"/>
          <w:sz w:val="22"/>
          <w:lang w:val="ro-RO"/>
        </w:rPr>
      </w:pPr>
      <w:r>
        <w:rPr>
          <w:rFonts w:cs="Arial" w:eastAsiaTheme="minorEastAsia"/>
          <w:sz w:val="22"/>
          <w:lang w:val="ro-RO"/>
        </w:rPr>
        <w:tab/>
      </w:r>
      <w:r>
        <w:rPr>
          <w:rFonts w:cs="Arial" w:eastAsiaTheme="minorEastAsia"/>
          <w:sz w:val="22"/>
          <w:lang w:val="ro-RO"/>
        </w:rPr>
        <w:tab/>
      </w:r>
      <w:r>
        <w:rPr>
          <w:rFonts w:cs="Arial" w:eastAsiaTheme="minorEastAsia"/>
          <w:sz w:val="22"/>
          <w:lang w:val="ro-RO"/>
        </w:rPr>
        <w:t>Albia râului Topolnița este folosită pentru extragerea de agregate, balast sau nisip, în zona Cerneți.</w:t>
      </w:r>
    </w:p>
    <w:p w14:paraId="5353F7FE">
      <w:pPr>
        <w:tabs>
          <w:tab w:val="left" w:pos="284"/>
        </w:tabs>
        <w:ind w:firstLine="0"/>
        <w:rPr>
          <w:rFonts w:cs="Arial" w:eastAsiaTheme="minorEastAsia"/>
          <w:sz w:val="22"/>
          <w:lang w:val="ro-RO"/>
        </w:rPr>
      </w:pPr>
      <w:r>
        <w:rPr>
          <w:rFonts w:cs="Arial" w:eastAsiaTheme="minorEastAsia"/>
          <w:sz w:val="22"/>
          <w:lang w:val="ro-RO"/>
        </w:rPr>
        <w:tab/>
      </w:r>
      <w:r>
        <w:rPr>
          <w:rFonts w:cs="Arial" w:eastAsiaTheme="minorEastAsia"/>
          <w:sz w:val="22"/>
          <w:lang w:val="ro-RO"/>
        </w:rPr>
        <w:tab/>
      </w:r>
      <w:r>
        <w:rPr>
          <w:rFonts w:cs="Arial" w:eastAsiaTheme="minorEastAsia"/>
          <w:sz w:val="22"/>
          <w:lang w:val="ro-RO"/>
        </w:rPr>
        <w:t xml:space="preserve">Pe teritoriul comunei își mai desfășoară activitatea companii implicate în transporturi rutiere de mărfuri, fabricarea articolelor din material plastic pentru construcții, fabricarea altor articole din metal și în alte industrii conexe. </w:t>
      </w:r>
    </w:p>
    <w:p w14:paraId="22DAB34B">
      <w:pPr>
        <w:rPr>
          <w:rFonts w:cs="Arial"/>
          <w:sz w:val="22"/>
          <w:lang w:val="ro-RO"/>
        </w:rPr>
      </w:pPr>
    </w:p>
    <w:p w14:paraId="43490528">
      <w:pPr>
        <w:pStyle w:val="3"/>
        <w:numPr>
          <w:ilvl w:val="1"/>
          <w:numId w:val="8"/>
        </w:numPr>
        <w:rPr>
          <w:rFonts w:cs="Arial"/>
          <w:sz w:val="22"/>
          <w:szCs w:val="22"/>
          <w:lang w:val="ro-RO"/>
        </w:rPr>
      </w:pPr>
      <w:bookmarkStart w:id="42" w:name="_Toc201926320"/>
      <w:r>
        <w:rPr>
          <w:rFonts w:cs="Arial"/>
          <w:sz w:val="22"/>
          <w:szCs w:val="22"/>
          <w:lang w:val="ro-RO"/>
        </w:rPr>
        <w:t>TURISM EDUCAŢIE ŞI CULTURĂ</w:t>
      </w:r>
      <w:bookmarkEnd w:id="42"/>
    </w:p>
    <w:p w14:paraId="20F9F15B">
      <w:pPr>
        <w:pStyle w:val="4"/>
        <w:numPr>
          <w:ilvl w:val="2"/>
          <w:numId w:val="8"/>
        </w:numPr>
        <w:rPr>
          <w:rFonts w:cs="Arial"/>
          <w:sz w:val="22"/>
          <w:szCs w:val="22"/>
          <w:lang w:val="ro-RO"/>
        </w:rPr>
      </w:pPr>
      <w:bookmarkStart w:id="43" w:name="_Toc201926321"/>
      <w:r>
        <w:rPr>
          <w:rFonts w:cs="Arial"/>
          <w:sz w:val="22"/>
          <w:szCs w:val="22"/>
          <w:lang w:val="ro-RO"/>
        </w:rPr>
        <w:t>Turism</w:t>
      </w:r>
      <w:bookmarkEnd w:id="43"/>
    </w:p>
    <w:p w14:paraId="17264D4C">
      <w:pPr>
        <w:rPr>
          <w:rFonts w:cs="Arial"/>
          <w:sz w:val="22"/>
          <w:lang w:val="ro-RO"/>
        </w:rPr>
      </w:pPr>
      <w:r>
        <w:rPr>
          <w:rFonts w:cs="Arial"/>
          <w:sz w:val="22"/>
          <w:lang w:val="ro-RO"/>
        </w:rPr>
        <w:t>În anul 2025, comuna Șimian se află într-un proces activ de revitalizare a vieții turistice, educaționale și culturale, valorificând atât patrimoniul local, cât și oportunitățile oferite de parteneriate strategice și investiții recente.</w:t>
      </w:r>
    </w:p>
    <w:p w14:paraId="51011941">
      <w:pPr>
        <w:rPr>
          <w:rFonts w:cs="Arial"/>
          <w:sz w:val="22"/>
          <w:lang w:val="ro-RO"/>
        </w:rPr>
      </w:pPr>
      <w:r>
        <w:rPr>
          <w:rFonts w:cs="Arial"/>
          <w:sz w:val="22"/>
          <w:lang w:val="ro-RO"/>
        </w:rPr>
        <w:t>Turismul cunoaște o dinamică nouă prin proiecte precum „Open Waterways 2025”, organizat în colaborare cu Asociația Front la Dunăre și Consiliul Județean Mehedinți. Evenimentul, desfășurat în perioada 25 iulie – 10 august 2025, include tururi ghidate, concerte, proiecții de film și concursuri de arhitectură, având ca scop promovarea Insulei Șimian și a vestigiilor Ada Kaleh, precum și accesibilizarea patrimoniului natural și cultural al comunei. Prin aceste inițiative, Șimian devine un exemplu de turism sustenabil și responsabil, cu accent pe dialogul dintre comunitate și Dunăre. De asemenea, proiectul încurajează implicarea tinerilor și a profesioniștilor în dezvoltarea infrastructurii turistice, inclusiv prin concursuri de soluții pentru amenajarea insulei, cu respectarea principiilor ecologice și a patrimoniului local.</w:t>
      </w:r>
    </w:p>
    <w:p w14:paraId="2699F9CC">
      <w:pPr>
        <w:rPr>
          <w:rFonts w:cs="Arial"/>
          <w:sz w:val="22"/>
          <w:lang w:val="ro-RO"/>
        </w:rPr>
      </w:pPr>
      <w:r>
        <w:rPr>
          <w:rFonts w:cs="Arial"/>
          <w:sz w:val="22"/>
          <w:lang w:val="ro-RO"/>
        </w:rPr>
        <w:t>Totuși, activitatea de turism este nesemnificativă în contrast cu potențialul turistic al zonei.</w:t>
      </w:r>
    </w:p>
    <w:p w14:paraId="2C040D16">
      <w:pPr>
        <w:rPr>
          <w:rFonts w:cs="Arial"/>
          <w:sz w:val="22"/>
          <w:lang w:val="ro-RO"/>
        </w:rPr>
      </w:pPr>
      <w:r>
        <w:rPr>
          <w:rFonts w:cs="Arial"/>
          <w:sz w:val="22"/>
          <w:lang w:val="ro-RO"/>
        </w:rPr>
        <w:t>Pe teritoriul comunei pădurile dețin o pondere importantă, exploatarea masei lemnoase este redusă ca volum, lemnul fiind valorificat în special în unitățile din municipiu.</w:t>
      </w:r>
    </w:p>
    <w:p w14:paraId="39C11D8E">
      <w:pPr>
        <w:rPr>
          <w:rFonts w:cs="Arial"/>
          <w:sz w:val="22"/>
          <w:lang w:val="ro-RO"/>
        </w:rPr>
      </w:pPr>
      <w:r>
        <w:rPr>
          <w:rFonts w:cs="Arial"/>
          <w:sz w:val="22"/>
          <w:lang w:val="ro-RO"/>
        </w:rPr>
        <w:t xml:space="preserve">Conform Planului de Amenajare a Teritoriului Național Comuna Șimian are o concentrare medie de resurse turistice naturale și antropice. Activitatea de turism este nesemnificativă în contrast cu potențialul turistic al zonei, în specia dacă este vorba de agro-turism. Acest tip de turism a căpătat amploare în ultimii zece ani, iar zona ar avea de câștigat din punct de vedere economic prin valorificarea resurselor etno-folclorice, a peisajului natural și antropic. </w:t>
      </w:r>
    </w:p>
    <w:p w14:paraId="4097AC99">
      <w:pPr>
        <w:rPr>
          <w:rFonts w:cs="Arial"/>
          <w:sz w:val="22"/>
          <w:lang w:val="ro-RO"/>
        </w:rPr>
      </w:pPr>
      <w:r>
        <w:rPr>
          <w:rFonts w:cs="Arial"/>
          <w:sz w:val="22"/>
          <w:lang w:val="ro-RO"/>
        </w:rPr>
        <w:t>Din punct de vedere al turismului natural, o zonă importantă ce poate fi valorificată mai eficient este insula Șimian sau Ostrovul Șimian. Istoria insulei este bogată, fiind găsite fragmente arheologice din mai multe culturi precum Coțofeni, Sălăuța, Verbicioara și ulterior culturilor dacice și romano-bizantine. Insula a fost locuită de-a lungul timpului, de la geți până în secolul al XIX-lea. În secolul al XX-lea, exista inclusiv o unitate militară cu scopul protecției graniței cu Serbia. Insula a căpătat popularitate în urma strămutării insulei Ada-Kaleh între 1968 și 1970, când o parte din zidăria fostei cetăți, dar și a cimitirului turcesc au fost mutate pe insula Șimian. Astfel, s-a dorit formarea unui complex muzeal-turistic, care însă nu a fost realizat. După 1989, insula a fost închisă.</w:t>
      </w:r>
    </w:p>
    <w:p w14:paraId="249AC8AB">
      <w:pPr>
        <w:rPr>
          <w:rFonts w:cs="Arial"/>
          <w:sz w:val="22"/>
          <w:lang w:val="ro-RO"/>
        </w:rPr>
      </w:pPr>
      <w:r>
        <w:rPr>
          <w:rFonts w:cs="Arial"/>
          <w:sz w:val="22"/>
          <w:lang w:val="ro-RO"/>
        </w:rPr>
        <w:t>Astfel, insula poate fi dezvoltată din punct de vedere cultural-istoric, generat de complexul arhitectonic Ada Kaleh, împreună cu amplasarea sa pe fluviul Dunărea.</w:t>
      </w:r>
    </w:p>
    <w:p w14:paraId="6357B668">
      <w:pPr>
        <w:pStyle w:val="4"/>
        <w:numPr>
          <w:ilvl w:val="2"/>
          <w:numId w:val="8"/>
        </w:numPr>
        <w:rPr>
          <w:rFonts w:cs="Arial"/>
          <w:sz w:val="22"/>
          <w:szCs w:val="22"/>
          <w:lang w:val="ro-RO"/>
        </w:rPr>
      </w:pPr>
      <w:bookmarkStart w:id="44" w:name="_Toc201926322"/>
      <w:r>
        <w:rPr>
          <w:rFonts w:cs="Arial"/>
          <w:sz w:val="22"/>
          <w:szCs w:val="22"/>
          <w:lang w:val="ro-RO"/>
        </w:rPr>
        <w:t>Învățământ</w:t>
      </w:r>
      <w:bookmarkEnd w:id="44"/>
    </w:p>
    <w:p w14:paraId="5D14EACB">
      <w:pPr>
        <w:rPr>
          <w:rFonts w:cs="Arial"/>
          <w:spacing w:val="-1"/>
          <w:sz w:val="22"/>
          <w:lang w:val="ro-RO"/>
        </w:rPr>
      </w:pPr>
      <w:r>
        <w:rPr>
          <w:rFonts w:cs="Arial"/>
          <w:spacing w:val="-1"/>
          <w:sz w:val="22"/>
          <w:lang w:val="ro-RO"/>
        </w:rPr>
        <w:t>Educația beneficiază de investiții semnificative, cel mai important proiect fiind reabilitarea și modernizarea la standard nZEB (consum de energie aproape zero) a internatului Liceului Tehnologic „Tudor Vladimirescu”. Lucrările, finanțate cu peste 1,5 milioane de euro prin programul „România Eficientă”, vizează creșterea performanței energetice, recompartimentarea spațiilor și reamenajarea exterioară, contribuind la creșterea atractivității ofertei educaționale și la îmbunătățirea condițiilor de trai pentru elevi. Oferta educațională a comunei este adaptată cerințelor actuale, cu profiluri și specializări relevante pentru piața muncii, iar admiterea în liceu se desfășoară conform metodologiei naționale, asigurând transparență și orientare vocațională pentru elevi.</w:t>
      </w:r>
    </w:p>
    <w:p w14:paraId="37EE2996">
      <w:pPr>
        <w:rPr>
          <w:rFonts w:cs="Arial"/>
          <w:sz w:val="22"/>
          <w:lang w:val="ro-RO"/>
        </w:rPr>
      </w:pPr>
      <w:r>
        <w:rPr>
          <w:rFonts w:cs="Arial"/>
          <w:spacing w:val="-1"/>
          <w:sz w:val="22"/>
          <w:lang w:val="ro-RO"/>
        </w:rPr>
        <w:t>Primăria Comunei Șimian ne-a furnizat informații referitoare la lista unităților de învățământ din comună aflate în administrarea sa</w:t>
      </w:r>
      <w:r>
        <w:rPr>
          <w:rFonts w:cs="Arial"/>
          <w:sz w:val="22"/>
          <w:lang w:val="ro-RO"/>
        </w:rPr>
        <w:t>.</w:t>
      </w:r>
    </w:p>
    <w:p w14:paraId="57C8C116">
      <w:pPr>
        <w:ind w:firstLine="0"/>
        <w:rPr>
          <w:rFonts w:cs="Arial"/>
          <w:sz w:val="22"/>
          <w:lang w:val="ro-RO"/>
        </w:rPr>
      </w:pPr>
    </w:p>
    <w:p w14:paraId="778AD836">
      <w:pPr>
        <w:rPr>
          <w:rFonts w:cs="Arial"/>
          <w:sz w:val="22"/>
          <w:lang w:val="ro-RO"/>
        </w:rPr>
      </w:pPr>
    </w:p>
    <w:p w14:paraId="6D78EE57">
      <w:pPr>
        <w:pStyle w:val="14"/>
        <w:rPr>
          <w:sz w:val="22"/>
          <w:szCs w:val="22"/>
          <w:lang w:val="en-US"/>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4</w:t>
      </w:r>
      <w:r>
        <w:rPr>
          <w:sz w:val="22"/>
          <w:szCs w:val="22"/>
        </w:rPr>
        <w:fldChar w:fldCharType="end"/>
      </w:r>
      <w:r>
        <w:rPr>
          <w:sz w:val="22"/>
          <w:szCs w:val="22"/>
        </w:rPr>
        <w:t xml:space="preserve">. </w:t>
      </w:r>
      <w:r>
        <w:rPr>
          <w:sz w:val="22"/>
          <w:szCs w:val="22"/>
          <w:lang w:val="en-US"/>
        </w:rPr>
        <w:t>Unitate de învățământ</w:t>
      </w:r>
    </w:p>
    <w:tbl>
      <w:tblPr>
        <w:tblStyle w:val="12"/>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9"/>
        <w:gridCol w:w="5372"/>
        <w:gridCol w:w="3119"/>
      </w:tblGrid>
      <w:tr w14:paraId="22DF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1E363DDB">
            <w:pPr>
              <w:spacing w:line="240" w:lineRule="auto"/>
              <w:ind w:firstLine="0"/>
              <w:jc w:val="center"/>
              <w:rPr>
                <w:rFonts w:eastAsia="Times New Roman" w:cs="Arial"/>
                <w:sz w:val="22"/>
                <w:lang w:val="ro-RO" w:eastAsia="ro-RO"/>
              </w:rPr>
            </w:pPr>
            <w:r>
              <w:rPr>
                <w:rFonts w:eastAsia="Times New Roman" w:cs="Arial"/>
                <w:sz w:val="22"/>
                <w:lang w:val="ro-RO" w:eastAsia="ro-RO"/>
              </w:rPr>
              <w:t>Nr.</w:t>
            </w:r>
          </w:p>
        </w:tc>
        <w:tc>
          <w:tcPr>
            <w:tcW w:w="5342" w:type="dxa"/>
            <w:vAlign w:val="center"/>
          </w:tcPr>
          <w:p w14:paraId="21EFC856">
            <w:pPr>
              <w:spacing w:line="240" w:lineRule="auto"/>
              <w:ind w:firstLine="0"/>
              <w:jc w:val="center"/>
              <w:rPr>
                <w:rFonts w:eastAsia="Times New Roman" w:cs="Arial"/>
                <w:sz w:val="22"/>
                <w:lang w:val="ro-RO" w:eastAsia="ro-RO"/>
              </w:rPr>
            </w:pPr>
            <w:r>
              <w:rPr>
                <w:rFonts w:eastAsia="Times New Roman" w:cs="Arial"/>
                <w:sz w:val="22"/>
                <w:lang w:val="ro-RO" w:eastAsia="ro-RO"/>
              </w:rPr>
              <w:t>Denumirea unității de învățământ</w:t>
            </w:r>
          </w:p>
        </w:tc>
        <w:tc>
          <w:tcPr>
            <w:tcW w:w="3074" w:type="dxa"/>
            <w:vAlign w:val="center"/>
          </w:tcPr>
          <w:p w14:paraId="26C30691">
            <w:pPr>
              <w:spacing w:line="240" w:lineRule="auto"/>
              <w:ind w:firstLine="0"/>
              <w:jc w:val="center"/>
              <w:rPr>
                <w:rFonts w:eastAsia="Times New Roman" w:cs="Arial"/>
                <w:sz w:val="22"/>
                <w:lang w:val="ro-RO" w:eastAsia="ro-RO"/>
              </w:rPr>
            </w:pPr>
            <w:r>
              <w:rPr>
                <w:rFonts w:eastAsia="Times New Roman" w:cs="Arial"/>
                <w:sz w:val="22"/>
                <w:lang w:val="ro-RO" w:eastAsia="ro-RO"/>
              </w:rPr>
              <w:t>Localizare</w:t>
            </w:r>
          </w:p>
        </w:tc>
      </w:tr>
      <w:tr w14:paraId="5EBB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01003ABF">
            <w:pPr>
              <w:spacing w:line="240" w:lineRule="auto"/>
              <w:ind w:firstLine="0"/>
              <w:jc w:val="center"/>
              <w:rPr>
                <w:rFonts w:eastAsia="Times New Roman" w:cs="Arial"/>
                <w:sz w:val="22"/>
                <w:lang w:val="ro-RO" w:eastAsia="ro-RO"/>
              </w:rPr>
            </w:pPr>
          </w:p>
        </w:tc>
        <w:tc>
          <w:tcPr>
            <w:tcW w:w="5342" w:type="dxa"/>
          </w:tcPr>
          <w:p w14:paraId="00DA6444">
            <w:pPr>
              <w:spacing w:line="240" w:lineRule="auto"/>
              <w:ind w:firstLine="0"/>
              <w:jc w:val="left"/>
              <w:rPr>
                <w:rFonts w:eastAsia="Times New Roman" w:cs="Arial"/>
                <w:sz w:val="22"/>
                <w:lang w:val="ro-RO" w:eastAsia="ro-RO"/>
              </w:rPr>
            </w:pPr>
            <w:r>
              <w:rPr>
                <w:rFonts w:cs="Arial"/>
                <w:spacing w:val="-1"/>
                <w:sz w:val="22"/>
              </w:rPr>
              <w:t>Ș</w:t>
            </w:r>
            <w:r>
              <w:rPr>
                <w:rFonts w:cs="Arial"/>
                <w:sz w:val="22"/>
              </w:rPr>
              <w:t>c</w:t>
            </w:r>
            <w:r>
              <w:rPr>
                <w:rFonts w:cs="Arial"/>
                <w:spacing w:val="1"/>
                <w:sz w:val="22"/>
              </w:rPr>
              <w:t>o</w:t>
            </w:r>
            <w:r>
              <w:rPr>
                <w:rFonts w:cs="Arial"/>
                <w:sz w:val="22"/>
              </w:rPr>
              <w:t>a</w:t>
            </w:r>
            <w:r>
              <w:rPr>
                <w:rFonts w:cs="Arial"/>
                <w:spacing w:val="-1"/>
                <w:sz w:val="22"/>
              </w:rPr>
              <w:t>l</w:t>
            </w:r>
            <w:r>
              <w:rPr>
                <w:rFonts w:cs="Arial"/>
                <w:sz w:val="22"/>
              </w:rPr>
              <w:t>a G</w:t>
            </w:r>
            <w:r>
              <w:rPr>
                <w:rFonts w:cs="Arial"/>
                <w:spacing w:val="-1"/>
                <w:sz w:val="22"/>
              </w:rPr>
              <w:t>imnazială</w:t>
            </w:r>
            <w:r>
              <w:rPr>
                <w:rFonts w:cs="Arial"/>
                <w:sz w:val="22"/>
              </w:rPr>
              <w:t xml:space="preserve"> </w:t>
            </w:r>
            <w:r>
              <w:rPr>
                <w:rFonts w:cs="Arial"/>
                <w:spacing w:val="-1"/>
                <w:sz w:val="22"/>
              </w:rPr>
              <w:t>Șimian</w:t>
            </w:r>
          </w:p>
        </w:tc>
        <w:tc>
          <w:tcPr>
            <w:tcW w:w="3074" w:type="dxa"/>
            <w:vAlign w:val="center"/>
          </w:tcPr>
          <w:p w14:paraId="5D74A3C4">
            <w:pPr>
              <w:spacing w:line="240" w:lineRule="auto"/>
              <w:ind w:firstLine="0"/>
              <w:jc w:val="left"/>
              <w:rPr>
                <w:rFonts w:eastAsia="Times New Roman" w:cs="Arial"/>
                <w:sz w:val="22"/>
                <w:lang w:val="ro-RO" w:eastAsia="ro-RO"/>
              </w:rPr>
            </w:pPr>
            <w:r>
              <w:rPr>
                <w:rFonts w:eastAsia="Times New Roman" w:cs="Arial"/>
                <w:sz w:val="22"/>
                <w:lang w:val="ro-RO" w:eastAsia="ro-RO"/>
              </w:rPr>
              <w:t>Sat Șimian, Comuna Șimian</w:t>
            </w:r>
          </w:p>
        </w:tc>
      </w:tr>
      <w:tr w14:paraId="06A6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2156BC1F">
            <w:pPr>
              <w:spacing w:line="240" w:lineRule="auto"/>
              <w:ind w:firstLine="0"/>
              <w:jc w:val="center"/>
              <w:rPr>
                <w:rFonts w:eastAsia="Times New Roman" w:cs="Arial"/>
                <w:sz w:val="22"/>
                <w:lang w:val="ro-RO" w:eastAsia="ro-RO"/>
              </w:rPr>
            </w:pPr>
          </w:p>
        </w:tc>
        <w:tc>
          <w:tcPr>
            <w:tcW w:w="5342" w:type="dxa"/>
            <w:vAlign w:val="center"/>
          </w:tcPr>
          <w:p w14:paraId="177BAD6F">
            <w:pPr>
              <w:spacing w:line="240" w:lineRule="auto"/>
              <w:ind w:firstLine="0"/>
              <w:jc w:val="left"/>
              <w:rPr>
                <w:rFonts w:eastAsia="Times New Roman" w:cs="Arial"/>
                <w:sz w:val="22"/>
                <w:lang w:val="ro-RO" w:eastAsia="ro-RO"/>
              </w:rPr>
            </w:pPr>
            <w:r>
              <w:rPr>
                <w:rFonts w:eastAsia="Times New Roman" w:cs="Arial"/>
                <w:sz w:val="22"/>
                <w:lang w:val="ro-RO" w:eastAsia="ro-RO"/>
              </w:rPr>
              <w:t>Școala Primară Poroina</w:t>
            </w:r>
          </w:p>
        </w:tc>
        <w:tc>
          <w:tcPr>
            <w:tcW w:w="3074" w:type="dxa"/>
            <w:vAlign w:val="center"/>
          </w:tcPr>
          <w:p w14:paraId="20736996">
            <w:pPr>
              <w:spacing w:line="240" w:lineRule="auto"/>
              <w:ind w:firstLine="0"/>
              <w:jc w:val="left"/>
              <w:rPr>
                <w:rFonts w:eastAsia="Times New Roman" w:cs="Arial"/>
                <w:sz w:val="22"/>
                <w:lang w:val="ro-RO" w:eastAsia="ro-RO"/>
              </w:rPr>
            </w:pPr>
            <w:r>
              <w:rPr>
                <w:rFonts w:eastAsia="Times New Roman" w:cs="Arial"/>
                <w:sz w:val="22"/>
                <w:lang w:val="ro-RO" w:eastAsia="ro-RO"/>
              </w:rPr>
              <w:t>Sat Poroina, Comuna Șimian</w:t>
            </w:r>
          </w:p>
        </w:tc>
      </w:tr>
      <w:tr w14:paraId="334A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1D2E9284">
            <w:pPr>
              <w:spacing w:line="240" w:lineRule="auto"/>
              <w:ind w:firstLine="0"/>
              <w:jc w:val="center"/>
              <w:rPr>
                <w:rFonts w:eastAsia="Times New Roman" w:cs="Arial"/>
                <w:sz w:val="22"/>
                <w:lang w:val="ro-RO" w:eastAsia="ro-RO"/>
              </w:rPr>
            </w:pPr>
          </w:p>
        </w:tc>
        <w:tc>
          <w:tcPr>
            <w:tcW w:w="5342" w:type="dxa"/>
            <w:vAlign w:val="center"/>
          </w:tcPr>
          <w:p w14:paraId="1EB7A401">
            <w:pPr>
              <w:spacing w:line="240" w:lineRule="auto"/>
              <w:ind w:firstLine="0"/>
              <w:jc w:val="left"/>
              <w:rPr>
                <w:rFonts w:eastAsia="Times New Roman" w:cs="Arial"/>
                <w:sz w:val="22"/>
                <w:lang w:val="ro-RO" w:eastAsia="ro-RO"/>
              </w:rPr>
            </w:pPr>
            <w:r>
              <w:rPr>
                <w:rFonts w:eastAsia="Times New Roman" w:cs="Arial"/>
                <w:sz w:val="22"/>
                <w:lang w:val="ro-RO" w:eastAsia="ro-RO"/>
              </w:rPr>
              <w:t>Gradinita cu program normal si prelungit</w:t>
            </w:r>
          </w:p>
        </w:tc>
        <w:tc>
          <w:tcPr>
            <w:tcW w:w="3074" w:type="dxa"/>
            <w:vAlign w:val="center"/>
          </w:tcPr>
          <w:p w14:paraId="64B949A1">
            <w:pPr>
              <w:spacing w:line="240" w:lineRule="auto"/>
              <w:ind w:firstLine="0"/>
              <w:jc w:val="left"/>
              <w:rPr>
                <w:rFonts w:eastAsia="Times New Roman" w:cs="Arial"/>
                <w:sz w:val="22"/>
                <w:lang w:val="ro-RO" w:eastAsia="ro-RO"/>
              </w:rPr>
            </w:pPr>
            <w:r>
              <w:rPr>
                <w:rFonts w:eastAsia="Times New Roman" w:cs="Arial"/>
                <w:sz w:val="22"/>
                <w:lang w:val="ro-RO" w:eastAsia="ro-RO"/>
              </w:rPr>
              <w:t>Sat Șimian, Comuna Șimian</w:t>
            </w:r>
          </w:p>
        </w:tc>
      </w:tr>
      <w:tr w14:paraId="6E65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82E4D8F">
            <w:pPr>
              <w:spacing w:line="240" w:lineRule="auto"/>
              <w:ind w:firstLine="0"/>
              <w:jc w:val="left"/>
              <w:rPr>
                <w:rFonts w:eastAsia="Times New Roman" w:cs="Arial"/>
                <w:sz w:val="22"/>
                <w:lang w:val="ro-RO" w:eastAsia="ro-RO"/>
              </w:rPr>
            </w:pPr>
            <w:r>
              <w:rPr>
                <w:rFonts w:eastAsia="Times New Roman" w:cs="Arial"/>
                <w:sz w:val="22"/>
                <w:lang w:val="ro-RO" w:eastAsia="ro-RO"/>
              </w:rPr>
              <w:t>1</w:t>
            </w:r>
          </w:p>
        </w:tc>
        <w:tc>
          <w:tcPr>
            <w:tcW w:w="5342" w:type="dxa"/>
            <w:vAlign w:val="center"/>
          </w:tcPr>
          <w:p w14:paraId="23626B80">
            <w:pPr>
              <w:spacing w:line="240" w:lineRule="auto"/>
              <w:ind w:firstLine="0"/>
              <w:jc w:val="left"/>
              <w:rPr>
                <w:rFonts w:eastAsia="Times New Roman" w:cs="Arial"/>
                <w:sz w:val="22"/>
                <w:lang w:val="ro-RO" w:eastAsia="ro-RO"/>
              </w:rPr>
            </w:pPr>
            <w:r>
              <w:rPr>
                <w:rFonts w:eastAsia="Times New Roman" w:cs="Arial"/>
                <w:sz w:val="22"/>
                <w:lang w:val="ro-RO" w:eastAsia="ro-RO"/>
              </w:rPr>
              <w:t>Școala Gimnazială Cerneți</w:t>
            </w:r>
          </w:p>
        </w:tc>
        <w:tc>
          <w:tcPr>
            <w:tcW w:w="3074" w:type="dxa"/>
            <w:vAlign w:val="center"/>
          </w:tcPr>
          <w:p w14:paraId="794F3305">
            <w:pPr>
              <w:spacing w:line="240" w:lineRule="auto"/>
              <w:ind w:firstLine="0"/>
              <w:jc w:val="left"/>
              <w:rPr>
                <w:rFonts w:eastAsia="Times New Roman" w:cs="Arial"/>
                <w:sz w:val="22"/>
                <w:lang w:val="ro-RO" w:eastAsia="ro-RO"/>
              </w:rPr>
            </w:pPr>
            <w:r>
              <w:rPr>
                <w:rFonts w:eastAsia="Times New Roman" w:cs="Arial"/>
                <w:sz w:val="22"/>
                <w:lang w:val="ro-RO" w:eastAsia="ro-RO"/>
              </w:rPr>
              <w:t>Sat Cerneți, Comuna Șimian</w:t>
            </w:r>
          </w:p>
        </w:tc>
      </w:tr>
      <w:tr w14:paraId="4E02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9EC42CE">
            <w:pPr>
              <w:spacing w:line="240" w:lineRule="auto"/>
              <w:ind w:firstLine="0"/>
              <w:jc w:val="left"/>
              <w:rPr>
                <w:rFonts w:eastAsia="Times New Roman" w:cs="Arial"/>
                <w:sz w:val="22"/>
                <w:lang w:val="ro-RO" w:eastAsia="ro-RO"/>
              </w:rPr>
            </w:pPr>
          </w:p>
        </w:tc>
        <w:tc>
          <w:tcPr>
            <w:tcW w:w="5342" w:type="dxa"/>
            <w:vAlign w:val="center"/>
          </w:tcPr>
          <w:p w14:paraId="37CB9AC6">
            <w:pPr>
              <w:spacing w:line="240" w:lineRule="auto"/>
              <w:ind w:firstLine="0"/>
              <w:jc w:val="left"/>
              <w:rPr>
                <w:rFonts w:eastAsia="Times New Roman" w:cs="Arial"/>
                <w:sz w:val="22"/>
                <w:lang w:val="ro-RO" w:eastAsia="ro-RO"/>
              </w:rPr>
            </w:pPr>
            <w:r>
              <w:rPr>
                <w:rFonts w:eastAsia="Times New Roman" w:cs="Arial"/>
                <w:sz w:val="22"/>
                <w:lang w:val="ro-RO" w:eastAsia="ro-RO"/>
              </w:rPr>
              <w:t>Scoala Primară Dudașu</w:t>
            </w:r>
          </w:p>
        </w:tc>
        <w:tc>
          <w:tcPr>
            <w:tcW w:w="3074" w:type="dxa"/>
            <w:vAlign w:val="center"/>
          </w:tcPr>
          <w:p w14:paraId="18FD71C7">
            <w:pPr>
              <w:spacing w:line="240" w:lineRule="auto"/>
              <w:ind w:firstLine="0"/>
              <w:jc w:val="left"/>
              <w:rPr>
                <w:rFonts w:eastAsia="Times New Roman" w:cs="Arial"/>
                <w:sz w:val="22"/>
                <w:lang w:val="ro-RO" w:eastAsia="ro-RO"/>
              </w:rPr>
            </w:pPr>
            <w:r>
              <w:rPr>
                <w:rFonts w:eastAsia="Times New Roman" w:cs="Arial"/>
                <w:sz w:val="22"/>
                <w:lang w:val="ro-RO" w:eastAsia="ro-RO"/>
              </w:rPr>
              <w:t>Sat Dudașu, Comuna Șimian</w:t>
            </w:r>
          </w:p>
        </w:tc>
      </w:tr>
      <w:tr w14:paraId="258E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85238">
            <w:pPr>
              <w:spacing w:line="240" w:lineRule="auto"/>
              <w:ind w:firstLine="0"/>
              <w:jc w:val="left"/>
              <w:rPr>
                <w:rFonts w:eastAsia="Times New Roman" w:cs="Arial"/>
                <w:sz w:val="22"/>
                <w:lang w:val="ro-RO" w:eastAsia="ro-RO"/>
              </w:rPr>
            </w:pPr>
            <w:r>
              <w:rPr>
                <w:rFonts w:eastAsia="Times New Roman" w:cs="Arial"/>
                <w:sz w:val="22"/>
                <w:lang w:val="ro-RO" w:eastAsia="ro-RO"/>
              </w:rPr>
              <w:t>2</w:t>
            </w:r>
          </w:p>
        </w:tc>
        <w:tc>
          <w:tcPr>
            <w:tcW w:w="5342" w:type="dxa"/>
            <w:vAlign w:val="center"/>
          </w:tcPr>
          <w:p w14:paraId="5486F7FF">
            <w:pPr>
              <w:spacing w:line="240" w:lineRule="auto"/>
              <w:ind w:firstLine="0"/>
              <w:jc w:val="left"/>
              <w:rPr>
                <w:rFonts w:eastAsia="Times New Roman" w:cs="Arial"/>
                <w:sz w:val="22"/>
                <w:lang w:val="ro-RO" w:eastAsia="ro-RO"/>
              </w:rPr>
            </w:pPr>
            <w:r>
              <w:rPr>
                <w:rFonts w:eastAsia="Times New Roman" w:cs="Arial"/>
                <w:sz w:val="22"/>
                <w:lang w:val="ro-RO" w:eastAsia="ro-RO"/>
              </w:rPr>
              <w:t>Liceul Tehnologic „Tudor Vladimirescu”</w:t>
            </w:r>
          </w:p>
        </w:tc>
        <w:tc>
          <w:tcPr>
            <w:tcW w:w="3074" w:type="dxa"/>
            <w:vAlign w:val="center"/>
          </w:tcPr>
          <w:p w14:paraId="5F8C5464">
            <w:pPr>
              <w:spacing w:line="240" w:lineRule="auto"/>
              <w:ind w:firstLine="0"/>
              <w:jc w:val="left"/>
              <w:rPr>
                <w:rFonts w:eastAsia="Times New Roman" w:cs="Arial"/>
                <w:sz w:val="22"/>
                <w:lang w:val="ro-RO" w:eastAsia="ro-RO"/>
              </w:rPr>
            </w:pPr>
            <w:r>
              <w:rPr>
                <w:rFonts w:eastAsia="Times New Roman" w:cs="Arial"/>
                <w:sz w:val="22"/>
                <w:lang w:val="ro-RO" w:eastAsia="ro-RO"/>
              </w:rPr>
              <w:t>Sat Șimian, Comuna Șimian</w:t>
            </w:r>
          </w:p>
        </w:tc>
      </w:tr>
      <w:tr w14:paraId="00D3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872E5D">
            <w:pPr>
              <w:spacing w:line="240" w:lineRule="auto"/>
              <w:ind w:firstLine="0"/>
              <w:jc w:val="left"/>
              <w:rPr>
                <w:rFonts w:eastAsia="Times New Roman" w:cs="Arial"/>
                <w:sz w:val="22"/>
                <w:lang w:val="ro-RO" w:eastAsia="ro-RO"/>
              </w:rPr>
            </w:pPr>
            <w:r>
              <w:rPr>
                <w:rFonts w:eastAsia="Times New Roman" w:cs="Arial"/>
                <w:sz w:val="22"/>
                <w:lang w:val="ro-RO" w:eastAsia="ro-RO"/>
              </w:rPr>
              <w:t>3</w:t>
            </w:r>
          </w:p>
        </w:tc>
        <w:tc>
          <w:tcPr>
            <w:tcW w:w="5342" w:type="dxa"/>
            <w:vAlign w:val="center"/>
          </w:tcPr>
          <w:p w14:paraId="310A98BA">
            <w:pPr>
              <w:spacing w:line="240" w:lineRule="auto"/>
              <w:ind w:firstLine="0"/>
              <w:jc w:val="left"/>
              <w:rPr>
                <w:rFonts w:eastAsia="Times New Roman" w:cs="Arial"/>
                <w:sz w:val="22"/>
                <w:lang w:val="ro-RO" w:eastAsia="ro-RO"/>
              </w:rPr>
            </w:pPr>
            <w:r>
              <w:rPr>
                <w:rFonts w:eastAsia="Times New Roman" w:cs="Arial"/>
                <w:sz w:val="22"/>
                <w:lang w:val="ro-RO" w:eastAsia="ro-RO"/>
              </w:rPr>
              <w:t>Grădinița cu Program Normal Cerneți</w:t>
            </w:r>
          </w:p>
        </w:tc>
        <w:tc>
          <w:tcPr>
            <w:tcW w:w="3074" w:type="dxa"/>
            <w:vAlign w:val="center"/>
          </w:tcPr>
          <w:p w14:paraId="3DD072DF">
            <w:pPr>
              <w:spacing w:line="240" w:lineRule="auto"/>
              <w:ind w:firstLine="0"/>
              <w:jc w:val="left"/>
              <w:rPr>
                <w:rFonts w:eastAsia="Times New Roman" w:cs="Arial"/>
                <w:sz w:val="22"/>
                <w:lang w:val="ro-RO" w:eastAsia="ro-RO"/>
              </w:rPr>
            </w:pPr>
            <w:r>
              <w:rPr>
                <w:rFonts w:eastAsia="Times New Roman" w:cs="Arial"/>
                <w:sz w:val="22"/>
                <w:lang w:val="ro-RO" w:eastAsia="ro-RO"/>
              </w:rPr>
              <w:t>Sat Cerneți, Comuna Șimian</w:t>
            </w:r>
          </w:p>
        </w:tc>
      </w:tr>
    </w:tbl>
    <w:p w14:paraId="6B31F959">
      <w:pPr>
        <w:jc w:val="center"/>
        <w:rPr>
          <w:rFonts w:cs="Arial"/>
          <w:i/>
          <w:iCs/>
          <w:sz w:val="22"/>
        </w:rPr>
      </w:pPr>
      <w:r>
        <w:rPr>
          <w:rFonts w:cs="Arial"/>
          <w:i/>
          <w:iCs/>
          <w:sz w:val="22"/>
        </w:rPr>
        <w:t>Sursa: Primăria Comunei Șimian</w:t>
      </w:r>
    </w:p>
    <w:p w14:paraId="43FCCDBD">
      <w:pPr>
        <w:ind w:firstLine="0"/>
        <w:rPr>
          <w:rFonts w:cs="Arial" w:eastAsiaTheme="minorEastAsia"/>
          <w:spacing w:val="-1"/>
          <w:sz w:val="22"/>
          <w:lang w:val="ro-RO"/>
        </w:rPr>
      </w:pPr>
      <w:r>
        <w:rPr>
          <w:rFonts w:cs="Arial" w:eastAsiaTheme="minorEastAsia"/>
          <w:spacing w:val="-1"/>
          <w:sz w:val="22"/>
          <w:lang w:val="ro-RO"/>
        </w:rPr>
        <w:t>Toate unitățile de învățământ de pe raza comunei au fost reabilitate energetic și au fost achiziționate următoarele:</w:t>
      </w:r>
    </w:p>
    <w:p w14:paraId="546D9A55">
      <w:pPr>
        <w:rPr>
          <w:rFonts w:cs="Arial" w:eastAsiaTheme="minorEastAsia"/>
          <w:spacing w:val="-1"/>
          <w:sz w:val="22"/>
          <w:lang w:val="ro-RO"/>
        </w:rPr>
      </w:pPr>
      <w:r>
        <w:rPr>
          <w:rFonts w:cs="Arial" w:eastAsiaTheme="minorEastAsia"/>
          <w:spacing w:val="-1"/>
          <w:sz w:val="22"/>
          <w:lang w:val="ro-RO"/>
        </w:rPr>
        <w:t>- tablete pentru elevi;</w:t>
      </w:r>
    </w:p>
    <w:p w14:paraId="0BC6A472">
      <w:pPr>
        <w:rPr>
          <w:rFonts w:cs="Arial" w:eastAsiaTheme="minorEastAsia"/>
          <w:spacing w:val="-1"/>
          <w:sz w:val="22"/>
          <w:lang w:val="ro-RO"/>
        </w:rPr>
      </w:pPr>
      <w:r>
        <w:rPr>
          <w:rFonts w:cs="Arial" w:eastAsiaTheme="minorEastAsia"/>
          <w:spacing w:val="-1"/>
          <w:sz w:val="22"/>
          <w:lang w:val="ro-RO"/>
        </w:rPr>
        <w:t>- table magnetice;</w:t>
      </w:r>
    </w:p>
    <w:p w14:paraId="5E9F5CAA">
      <w:pPr>
        <w:rPr>
          <w:rFonts w:cs="Arial" w:eastAsiaTheme="minorEastAsia"/>
          <w:spacing w:val="-1"/>
          <w:sz w:val="22"/>
          <w:lang w:val="ro-RO"/>
        </w:rPr>
      </w:pPr>
      <w:r>
        <w:rPr>
          <w:rFonts w:cs="Arial" w:eastAsiaTheme="minorEastAsia"/>
          <w:spacing w:val="-1"/>
          <w:sz w:val="22"/>
          <w:lang w:val="ro-RO"/>
        </w:rPr>
        <w:t>- videoproiectoare;</w:t>
      </w:r>
    </w:p>
    <w:p w14:paraId="22B2C8E4">
      <w:pPr>
        <w:rPr>
          <w:rFonts w:cs="Arial" w:eastAsiaTheme="minorEastAsia"/>
          <w:spacing w:val="-1"/>
          <w:sz w:val="22"/>
          <w:lang w:val="ro-RO"/>
        </w:rPr>
      </w:pPr>
      <w:r>
        <w:rPr>
          <w:rFonts w:cs="Arial" w:eastAsiaTheme="minorEastAsia"/>
          <w:spacing w:val="-1"/>
          <w:sz w:val="22"/>
          <w:lang w:val="ro-RO"/>
        </w:rPr>
        <w:t>- laptop-uri pentru profesori;</w:t>
      </w:r>
    </w:p>
    <w:p w14:paraId="3FD19238">
      <w:pPr>
        <w:rPr>
          <w:rFonts w:cs="Arial" w:eastAsiaTheme="minorEastAsia"/>
          <w:spacing w:val="-1"/>
          <w:sz w:val="22"/>
          <w:lang w:val="ro-RO"/>
        </w:rPr>
      </w:pPr>
      <w:r>
        <w:rPr>
          <w:rFonts w:cs="Arial" w:eastAsiaTheme="minorEastAsia"/>
          <w:spacing w:val="-1"/>
          <w:sz w:val="22"/>
          <w:lang w:val="ro-RO"/>
        </w:rPr>
        <w:t>- calculatoarea pentru sala de lectură.</w:t>
      </w:r>
    </w:p>
    <w:p w14:paraId="2618DDBC">
      <w:pPr>
        <w:rPr>
          <w:rFonts w:cs="Arial" w:eastAsiaTheme="minorEastAsia"/>
          <w:spacing w:val="-1"/>
          <w:sz w:val="22"/>
          <w:lang w:val="ro-RO"/>
        </w:rPr>
      </w:pPr>
    </w:p>
    <w:p w14:paraId="23D5A9EB">
      <w:pPr>
        <w:rPr>
          <w:rFonts w:cs="Arial" w:eastAsiaTheme="minorEastAsia"/>
          <w:spacing w:val="-1"/>
          <w:sz w:val="22"/>
          <w:lang w:val="ro-RO"/>
        </w:rPr>
      </w:pPr>
    </w:p>
    <w:p w14:paraId="1A2EF474">
      <w:pPr>
        <w:rPr>
          <w:rFonts w:cs="Arial" w:eastAsiaTheme="minorEastAsia"/>
          <w:sz w:val="22"/>
          <w:lang w:val="ro-RO"/>
        </w:rPr>
      </w:pPr>
      <w:r>
        <w:rPr>
          <w:rFonts w:cs="Arial" w:eastAsiaTheme="minorEastAsia"/>
          <w:spacing w:val="-1"/>
          <w:sz w:val="22"/>
          <w:lang w:val="ro-RO"/>
        </w:rPr>
        <w:t>Școlile din localitățile Valea Copcii și Erghevița au fost închise</w:t>
      </w:r>
      <w:r>
        <w:rPr>
          <w:rFonts w:cs="Arial" w:eastAsiaTheme="minorEastAsia"/>
          <w:sz w:val="22"/>
          <w:lang w:val="ro-RO"/>
        </w:rPr>
        <w:t>. Datorită proximității de Municipiul Drobeta Turnu Severin, o bună parte din elevi urmează cursurile școlilor și liceelor din oraș.</w:t>
      </w:r>
    </w:p>
    <w:p w14:paraId="1664CF80">
      <w:pPr>
        <w:rPr>
          <w:rFonts w:cs="Arial" w:eastAsiaTheme="minorEastAsia"/>
          <w:sz w:val="22"/>
          <w:lang w:val="ro-RO"/>
        </w:rPr>
      </w:pPr>
      <w:r>
        <w:rPr>
          <w:rFonts w:cs="Arial" w:eastAsiaTheme="minorEastAsia"/>
          <w:sz w:val="22"/>
          <w:lang w:val="ro-RO"/>
        </w:rPr>
        <w:t xml:space="preserve"> </w:t>
      </w:r>
      <w:r>
        <w:rPr>
          <w:rFonts w:cs="Arial" w:eastAsiaTheme="minorEastAsia"/>
          <w:spacing w:val="-1"/>
          <w:sz w:val="22"/>
          <w:lang w:val="ro-RO"/>
        </w:rPr>
        <w:t>P</w:t>
      </w:r>
      <w:r>
        <w:rPr>
          <w:rFonts w:cs="Arial" w:eastAsiaTheme="minorEastAsia"/>
          <w:sz w:val="22"/>
          <w:lang w:val="ro-RO"/>
        </w:rPr>
        <w:t xml:space="preserve">e </w:t>
      </w:r>
      <w:r>
        <w:rPr>
          <w:rFonts w:cs="Arial" w:eastAsiaTheme="minorEastAsia"/>
          <w:spacing w:val="1"/>
          <w:sz w:val="22"/>
          <w:lang w:val="ro-RO"/>
        </w:rPr>
        <w:t>r</w:t>
      </w:r>
      <w:r>
        <w:rPr>
          <w:rFonts w:cs="Arial" w:eastAsiaTheme="minorEastAsia"/>
          <w:sz w:val="22"/>
          <w:lang w:val="ro-RO"/>
        </w:rPr>
        <w:t>a</w:t>
      </w:r>
      <w:r>
        <w:rPr>
          <w:rFonts w:cs="Arial" w:eastAsiaTheme="minorEastAsia"/>
          <w:spacing w:val="1"/>
          <w:sz w:val="22"/>
          <w:lang w:val="ro-RO"/>
        </w:rPr>
        <w:t>z</w:t>
      </w:r>
      <w:r>
        <w:rPr>
          <w:rFonts w:cs="Arial" w:eastAsiaTheme="minorEastAsia"/>
          <w:sz w:val="22"/>
          <w:lang w:val="ro-RO"/>
        </w:rPr>
        <w:t>a  c</w:t>
      </w:r>
      <w:r>
        <w:rPr>
          <w:rFonts w:cs="Arial" w:eastAsiaTheme="minorEastAsia"/>
          <w:spacing w:val="1"/>
          <w:sz w:val="22"/>
          <w:lang w:val="ro-RO"/>
        </w:rPr>
        <w:t>o</w:t>
      </w:r>
      <w:r>
        <w:rPr>
          <w:rFonts w:cs="Arial" w:eastAsiaTheme="minorEastAsia"/>
          <w:spacing w:val="-1"/>
          <w:sz w:val="22"/>
          <w:lang w:val="ro-RO"/>
        </w:rPr>
        <w:t>mun</w:t>
      </w:r>
      <w:r>
        <w:rPr>
          <w:rFonts w:cs="Arial" w:eastAsiaTheme="minorEastAsia"/>
          <w:spacing w:val="1"/>
          <w:sz w:val="22"/>
          <w:lang w:val="ro-RO"/>
        </w:rPr>
        <w:t>e</w:t>
      </w:r>
      <w:r>
        <w:rPr>
          <w:rFonts w:cs="Arial" w:eastAsiaTheme="minorEastAsia"/>
          <w:sz w:val="22"/>
          <w:lang w:val="ro-RO"/>
        </w:rPr>
        <w:t>i</w:t>
      </w:r>
      <w:r>
        <w:rPr>
          <w:rFonts w:cs="Arial" w:eastAsiaTheme="minorEastAsia"/>
          <w:spacing w:val="-1"/>
          <w:sz w:val="22"/>
          <w:lang w:val="ro-RO"/>
        </w:rPr>
        <w:t xml:space="preserve"> </w:t>
      </w:r>
      <w:r>
        <w:rPr>
          <w:rFonts w:cs="Arial" w:eastAsiaTheme="minorEastAsia"/>
          <w:spacing w:val="1"/>
          <w:sz w:val="22"/>
          <w:lang w:val="ro-RO"/>
        </w:rPr>
        <w:t>e</w:t>
      </w:r>
      <w:r>
        <w:rPr>
          <w:rFonts w:cs="Arial" w:eastAsiaTheme="minorEastAsia"/>
          <w:sz w:val="22"/>
          <w:lang w:val="ro-RO"/>
        </w:rPr>
        <w:t>x</w:t>
      </w:r>
      <w:r>
        <w:rPr>
          <w:rFonts w:cs="Arial" w:eastAsiaTheme="minorEastAsia"/>
          <w:spacing w:val="-1"/>
          <w:sz w:val="22"/>
          <w:lang w:val="ro-RO"/>
        </w:rPr>
        <w:t>i</w:t>
      </w:r>
      <w:r>
        <w:rPr>
          <w:rFonts w:cs="Arial" w:eastAsiaTheme="minorEastAsia"/>
          <w:sz w:val="22"/>
          <w:lang w:val="ro-RO"/>
        </w:rPr>
        <w:t>s</w:t>
      </w:r>
      <w:r>
        <w:rPr>
          <w:rFonts w:cs="Arial" w:eastAsiaTheme="minorEastAsia"/>
          <w:spacing w:val="-1"/>
          <w:sz w:val="22"/>
          <w:lang w:val="ro-RO"/>
        </w:rPr>
        <w:t>t</w:t>
      </w:r>
      <w:r>
        <w:rPr>
          <w:rFonts w:cs="Arial" w:eastAsiaTheme="minorEastAsia"/>
          <w:sz w:val="22"/>
          <w:lang w:val="ro-RO"/>
        </w:rPr>
        <w:t xml:space="preserve">ă </w:t>
      </w:r>
      <w:r>
        <w:rPr>
          <w:rFonts w:cs="Arial" w:eastAsiaTheme="minorEastAsia"/>
          <w:spacing w:val="2"/>
          <w:sz w:val="22"/>
          <w:lang w:val="ro-RO"/>
        </w:rPr>
        <w:t>un stadion de fotbal în Satul Șimian, un alt teren de sport în incinta Școlii Șimian, Stadionul Pandurii Cerneți în Satul Cerneți, un teren de sport în incinta școlii din Cerneți, un teren de sport la Dedovița Nouă.</w:t>
      </w:r>
    </w:p>
    <w:p w14:paraId="0D23F802">
      <w:pPr>
        <w:rPr>
          <w:rFonts w:cs="Arial"/>
          <w:sz w:val="22"/>
          <w:highlight w:val="yellow"/>
          <w:lang w:val="ro-RO"/>
        </w:rPr>
      </w:pPr>
    </w:p>
    <w:p w14:paraId="44BD3076">
      <w:pPr>
        <w:pStyle w:val="4"/>
        <w:numPr>
          <w:ilvl w:val="2"/>
          <w:numId w:val="8"/>
        </w:numPr>
        <w:rPr>
          <w:rFonts w:cs="Arial"/>
          <w:sz w:val="22"/>
          <w:szCs w:val="22"/>
          <w:lang w:val="ro-RO"/>
        </w:rPr>
      </w:pPr>
      <w:bookmarkStart w:id="45" w:name="_Toc201926323"/>
      <w:r>
        <w:rPr>
          <w:rFonts w:cs="Arial"/>
          <w:sz w:val="22"/>
          <w:szCs w:val="22"/>
          <w:lang w:val="ro-RO"/>
        </w:rPr>
        <w:t>Cultură</w:t>
      </w:r>
      <w:bookmarkEnd w:id="45"/>
      <w:r>
        <w:rPr>
          <w:rFonts w:cs="Arial"/>
          <w:sz w:val="22"/>
          <w:szCs w:val="22"/>
          <w:lang w:val="ro-RO"/>
        </w:rPr>
        <w:t xml:space="preserve"> </w:t>
      </w:r>
    </w:p>
    <w:p w14:paraId="0EF19D66">
      <w:pPr>
        <w:rPr>
          <w:rFonts w:cs="Arial"/>
          <w:sz w:val="22"/>
          <w:lang w:val="ro-RO"/>
        </w:rPr>
      </w:pPr>
      <w:r>
        <w:rPr>
          <w:rFonts w:cs="Arial"/>
          <w:sz w:val="22"/>
          <w:lang w:val="ro-RO"/>
        </w:rPr>
        <w:t>Cultura este revitalizată prin evenimente și proiecte care pun în valoare patrimoniul local, precum concursurile de arhitectură, proiecțiile de film și concertele organizate pe Insula Șimian. Aceste activități contribuie la reactivarea spațiului public, la implicarea comunității și la promovarea identității locale, transformând comuna într-un pol de interes pentru turiști, tineri și profesioniști din domeniul creativ.</w:t>
      </w:r>
    </w:p>
    <w:p w14:paraId="7DA96FF6">
      <w:pPr>
        <w:rPr>
          <w:rFonts w:cs="Arial"/>
          <w:sz w:val="22"/>
          <w:lang w:val="ro-RO"/>
        </w:rPr>
      </w:pPr>
      <w:r>
        <w:rPr>
          <w:rFonts w:cs="Arial"/>
          <w:sz w:val="22"/>
          <w:lang w:val="ro-RO"/>
        </w:rPr>
        <w:t>Comuna Șimian dispune de o serie de obiecte meșteșugărești care pot fi vizitate la Muzeul Satului din Cerneți, inaugurat în 2013 în incinta căminului cultural și în cadrul Culei lui Nistor.</w:t>
      </w:r>
    </w:p>
    <w:p w14:paraId="683919CA">
      <w:pPr>
        <w:rPr>
          <w:rFonts w:cs="Arial"/>
          <w:sz w:val="22"/>
          <w:lang w:val="ro-RO"/>
        </w:rPr>
      </w:pPr>
      <w:r>
        <w:rPr>
          <w:rFonts w:cs="Arial"/>
          <w:sz w:val="22"/>
          <w:lang w:val="ro-RO"/>
        </w:rPr>
        <w:t xml:space="preserve">Din punct de vedere al costumelor populare, sătenii din comuna Șimian îmbrăcau un port popular specific acestui teritoriu geografic din județul Mehedinți. La femei, costumul cu vâlnic sau popular numit opreg creț se folosea de sărbători. În afară de costumul de ocazie, în mod normal femeile purtau un opreg învărgat, asociat cu cămașa simplă. Costumul bărbătesc este mai simplu, format din brâu, cămașă, cioareci și opinci. </w:t>
      </w:r>
    </w:p>
    <w:p w14:paraId="719F4A19">
      <w:pPr>
        <w:rPr>
          <w:rFonts w:cs="Arial"/>
          <w:sz w:val="22"/>
          <w:lang w:val="ro-RO"/>
        </w:rPr>
      </w:pPr>
      <w:r>
        <w:rPr>
          <w:rFonts w:cs="Arial"/>
          <w:sz w:val="22"/>
          <w:lang w:val="ro-RO"/>
        </w:rPr>
        <w:t xml:space="preserve">Ca meșteșug, se distinge arta împletiturilor care are o vechime deosebită în această zonă. Obiectele cele mai populare erau panerul și cotărița. </w:t>
      </w:r>
    </w:p>
    <w:p w14:paraId="06EA9A9F">
      <w:pPr>
        <w:rPr>
          <w:rFonts w:cs="Arial"/>
          <w:sz w:val="22"/>
          <w:lang w:val="ro-RO"/>
        </w:rPr>
      </w:pPr>
      <w:r>
        <w:rPr>
          <w:rFonts w:cs="Arial"/>
          <w:sz w:val="22"/>
          <w:lang w:val="ro-RO"/>
        </w:rPr>
        <w:t xml:space="preserve">Tradițiile din comuna Șimian sunt strâns legate de sărbătorile bisericești precum Crăciunul, anul Nou și Boboteaza. De asemenea încă se mai păstrează tradiția nedeilor, când de Adormirea Maicii Domnului se serbează nedeia la Șimian și Cerneți, Sf. Gheorghe în Dudașu, Sf. Apostoli Petru și Pavel la Poroina și Erghevița. </w:t>
      </w:r>
    </w:p>
    <w:p w14:paraId="713A6AD9">
      <w:pPr>
        <w:rPr>
          <w:rFonts w:cs="Arial"/>
          <w:sz w:val="22"/>
          <w:lang w:val="ro-RO"/>
        </w:rPr>
      </w:pPr>
      <w:r>
        <w:rPr>
          <w:rFonts w:cs="Arial"/>
          <w:sz w:val="22"/>
          <w:lang w:val="ro-RO"/>
        </w:rPr>
        <w:t xml:space="preserve">Târgurile și festivalurile sunt prezente în special la Cerneți, când în fiecare zi de joi și duminică are loc târgul vestit în toată zona. </w:t>
      </w:r>
    </w:p>
    <w:p w14:paraId="7398088C">
      <w:pPr>
        <w:rPr>
          <w:rFonts w:cs="Arial"/>
          <w:sz w:val="22"/>
          <w:lang w:val="ro-RO"/>
        </w:rPr>
      </w:pPr>
      <w:r>
        <w:rPr>
          <w:rFonts w:cs="Arial"/>
          <w:sz w:val="22"/>
          <w:lang w:val="ro-RO"/>
        </w:rPr>
        <w:t>O altă sărbătoare ce are loc anual, la începutul lunii iunie este Ștafeta lui Tudor, la care participă locuitorii zonei. În unii ani, a fost realizată reconstituirea istorică care a inclus tineri îmbrăcați în panduri defilând în zona monumentului lui Tudor Vladimirescu din Cerneți, în amintirea revoluției din 1821.</w:t>
      </w:r>
    </w:p>
    <w:p w14:paraId="6876C8A1">
      <w:pPr>
        <w:rPr>
          <w:rFonts w:cs="Arial"/>
          <w:sz w:val="22"/>
          <w:lang w:val="ro-RO"/>
        </w:rPr>
      </w:pPr>
      <w:r>
        <w:rPr>
          <w:rFonts w:cs="Arial"/>
          <w:sz w:val="22"/>
          <w:lang w:val="ro-RO"/>
        </w:rPr>
        <w:t>În comuna Șimian funcționează 2 cămine culturale și o bibliotecă:</w:t>
      </w:r>
    </w:p>
    <w:p w14:paraId="307BA859">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5</w:t>
      </w:r>
      <w:r>
        <w:rPr>
          <w:sz w:val="22"/>
          <w:szCs w:val="22"/>
        </w:rPr>
        <w:fldChar w:fldCharType="end"/>
      </w:r>
      <w:r>
        <w:rPr>
          <w:sz w:val="22"/>
          <w:szCs w:val="22"/>
        </w:rPr>
        <w:t>.  Unitățile de cultură din comuna Șimian</w:t>
      </w:r>
    </w:p>
    <w:tbl>
      <w:tblPr>
        <w:tblStyle w:val="7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4"/>
        <w:gridCol w:w="1010"/>
        <w:gridCol w:w="3186"/>
      </w:tblGrid>
      <w:tr w14:paraId="24FD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4" w:type="dxa"/>
            <w:shd w:val="clear" w:color="auto" w:fill="D8D8D8" w:themeFill="background1" w:themeFillShade="D9"/>
          </w:tcPr>
          <w:p w14:paraId="31607249">
            <w:pPr>
              <w:ind w:firstLine="0"/>
              <w:jc w:val="center"/>
              <w:rPr>
                <w:rFonts w:cs="Arial" w:eastAsiaTheme="minorEastAsia"/>
                <w:b/>
                <w:sz w:val="22"/>
                <w:lang w:val="ro-RO"/>
              </w:rPr>
            </w:pPr>
            <w:r>
              <w:rPr>
                <w:rFonts w:cs="Arial" w:eastAsiaTheme="minorEastAsia"/>
                <w:b/>
                <w:sz w:val="22"/>
                <w:lang w:val="ro-RO"/>
              </w:rPr>
              <w:t>Categorie</w:t>
            </w:r>
          </w:p>
        </w:tc>
        <w:tc>
          <w:tcPr>
            <w:tcW w:w="1010" w:type="dxa"/>
            <w:shd w:val="clear" w:color="auto" w:fill="D8D8D8" w:themeFill="background1" w:themeFillShade="D9"/>
          </w:tcPr>
          <w:p w14:paraId="5C0D2CDD">
            <w:pPr>
              <w:ind w:firstLine="0"/>
              <w:jc w:val="center"/>
              <w:rPr>
                <w:rFonts w:cs="Arial" w:eastAsiaTheme="minorEastAsia"/>
                <w:b/>
                <w:sz w:val="22"/>
                <w:lang w:val="ro-RO"/>
              </w:rPr>
            </w:pPr>
            <w:r>
              <w:rPr>
                <w:rFonts w:cs="Arial" w:eastAsiaTheme="minorEastAsia"/>
                <w:b/>
                <w:sz w:val="22"/>
                <w:lang w:val="ro-RO"/>
              </w:rPr>
              <w:t>Număr</w:t>
            </w:r>
          </w:p>
        </w:tc>
        <w:tc>
          <w:tcPr>
            <w:tcW w:w="3186" w:type="dxa"/>
            <w:shd w:val="clear" w:color="auto" w:fill="D8D8D8" w:themeFill="background1" w:themeFillShade="D9"/>
          </w:tcPr>
          <w:p w14:paraId="007F0C08">
            <w:pPr>
              <w:ind w:firstLine="0"/>
              <w:jc w:val="center"/>
              <w:rPr>
                <w:rFonts w:cs="Arial" w:eastAsiaTheme="minorEastAsia"/>
                <w:b/>
                <w:sz w:val="22"/>
                <w:lang w:val="ro-RO"/>
              </w:rPr>
            </w:pPr>
            <w:r>
              <w:rPr>
                <w:rFonts w:cs="Arial" w:eastAsiaTheme="minorEastAsia"/>
                <w:b/>
                <w:sz w:val="22"/>
                <w:lang w:val="ro-RO"/>
              </w:rPr>
              <w:t>Localizare</w:t>
            </w:r>
          </w:p>
        </w:tc>
      </w:tr>
      <w:tr w14:paraId="7291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4" w:type="dxa"/>
          </w:tcPr>
          <w:p w14:paraId="215BCD20">
            <w:pPr>
              <w:ind w:firstLine="0"/>
              <w:jc w:val="center"/>
              <w:rPr>
                <w:rFonts w:cs="Arial" w:eastAsiaTheme="minorEastAsia"/>
                <w:sz w:val="22"/>
                <w:lang w:val="ro-RO"/>
              </w:rPr>
            </w:pPr>
            <w:r>
              <w:rPr>
                <w:rFonts w:cs="Arial" w:eastAsiaTheme="minorEastAsia"/>
                <w:sz w:val="22"/>
                <w:lang w:val="ro-RO"/>
              </w:rPr>
              <w:t>Cămin cultural</w:t>
            </w:r>
          </w:p>
        </w:tc>
        <w:tc>
          <w:tcPr>
            <w:tcW w:w="1010" w:type="dxa"/>
          </w:tcPr>
          <w:p w14:paraId="59D8FC68">
            <w:pPr>
              <w:ind w:firstLine="0"/>
              <w:jc w:val="center"/>
              <w:rPr>
                <w:rFonts w:cs="Arial" w:eastAsiaTheme="minorEastAsia"/>
                <w:sz w:val="22"/>
                <w:lang w:val="ro-RO"/>
              </w:rPr>
            </w:pPr>
            <w:r>
              <w:rPr>
                <w:rFonts w:cs="Arial" w:eastAsiaTheme="minorEastAsia"/>
                <w:sz w:val="22"/>
                <w:lang w:val="ro-RO"/>
              </w:rPr>
              <w:t>1</w:t>
            </w:r>
          </w:p>
        </w:tc>
        <w:tc>
          <w:tcPr>
            <w:tcW w:w="3186" w:type="dxa"/>
          </w:tcPr>
          <w:p w14:paraId="745817AE">
            <w:pPr>
              <w:ind w:firstLine="0"/>
              <w:jc w:val="center"/>
              <w:rPr>
                <w:rFonts w:cs="Arial" w:eastAsiaTheme="minorEastAsia"/>
                <w:sz w:val="22"/>
                <w:lang w:val="ro-RO"/>
              </w:rPr>
            </w:pPr>
            <w:r>
              <w:rPr>
                <w:rFonts w:cs="Arial" w:eastAsiaTheme="minorEastAsia"/>
                <w:sz w:val="22"/>
                <w:lang w:val="ro-RO"/>
              </w:rPr>
              <w:t>Șimian</w:t>
            </w:r>
          </w:p>
        </w:tc>
      </w:tr>
      <w:tr w14:paraId="6FD2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4" w:type="dxa"/>
          </w:tcPr>
          <w:p w14:paraId="4C4EF7FB">
            <w:pPr>
              <w:ind w:firstLine="0"/>
              <w:jc w:val="center"/>
              <w:rPr>
                <w:rFonts w:cs="Arial" w:eastAsiaTheme="minorEastAsia"/>
                <w:sz w:val="22"/>
                <w:lang w:val="ro-RO"/>
              </w:rPr>
            </w:pPr>
            <w:r>
              <w:rPr>
                <w:rFonts w:cs="Arial" w:eastAsiaTheme="minorEastAsia"/>
                <w:sz w:val="22"/>
                <w:lang w:val="ro-RO"/>
              </w:rPr>
              <w:t>Biblioteca comunală Șimian</w:t>
            </w:r>
          </w:p>
        </w:tc>
        <w:tc>
          <w:tcPr>
            <w:tcW w:w="1010" w:type="dxa"/>
          </w:tcPr>
          <w:p w14:paraId="0C8C3C84">
            <w:pPr>
              <w:ind w:firstLine="0"/>
              <w:jc w:val="center"/>
              <w:rPr>
                <w:rFonts w:cs="Arial" w:eastAsiaTheme="minorEastAsia"/>
                <w:sz w:val="22"/>
                <w:lang w:val="ro-RO"/>
              </w:rPr>
            </w:pPr>
            <w:r>
              <w:rPr>
                <w:rFonts w:cs="Arial" w:eastAsiaTheme="minorEastAsia"/>
                <w:sz w:val="22"/>
                <w:lang w:val="ro-RO"/>
              </w:rPr>
              <w:t>1</w:t>
            </w:r>
          </w:p>
        </w:tc>
        <w:tc>
          <w:tcPr>
            <w:tcW w:w="3186" w:type="dxa"/>
          </w:tcPr>
          <w:p w14:paraId="7AFA4FBE">
            <w:pPr>
              <w:ind w:firstLine="0"/>
              <w:jc w:val="center"/>
              <w:rPr>
                <w:rFonts w:cs="Arial" w:eastAsiaTheme="minorEastAsia"/>
                <w:sz w:val="22"/>
                <w:lang w:val="ro-RO"/>
              </w:rPr>
            </w:pPr>
            <w:r>
              <w:rPr>
                <w:rFonts w:cs="Arial" w:eastAsiaTheme="minorEastAsia"/>
                <w:sz w:val="22"/>
                <w:lang w:val="ro-RO"/>
              </w:rPr>
              <w:t>Șimian</w:t>
            </w:r>
          </w:p>
        </w:tc>
      </w:tr>
      <w:tr w14:paraId="5435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4" w:type="dxa"/>
          </w:tcPr>
          <w:p w14:paraId="6CACC22D">
            <w:pPr>
              <w:ind w:firstLine="0"/>
              <w:jc w:val="center"/>
              <w:rPr>
                <w:rFonts w:cs="Arial" w:eastAsiaTheme="minorEastAsia"/>
                <w:sz w:val="22"/>
                <w:lang w:val="ro-RO"/>
              </w:rPr>
            </w:pPr>
            <w:r>
              <w:rPr>
                <w:rFonts w:cs="Arial" w:eastAsiaTheme="minorEastAsia"/>
                <w:sz w:val="22"/>
                <w:lang w:val="ro-RO"/>
              </w:rPr>
              <w:t>Cămin cultural</w:t>
            </w:r>
          </w:p>
        </w:tc>
        <w:tc>
          <w:tcPr>
            <w:tcW w:w="1010" w:type="dxa"/>
          </w:tcPr>
          <w:p w14:paraId="3AA23734">
            <w:pPr>
              <w:ind w:firstLine="0"/>
              <w:jc w:val="center"/>
              <w:rPr>
                <w:rFonts w:cs="Arial" w:eastAsiaTheme="minorEastAsia"/>
                <w:sz w:val="22"/>
                <w:lang w:val="ro-RO"/>
              </w:rPr>
            </w:pPr>
            <w:r>
              <w:rPr>
                <w:rFonts w:cs="Arial" w:eastAsiaTheme="minorEastAsia"/>
                <w:sz w:val="22"/>
                <w:lang w:val="ro-RO"/>
              </w:rPr>
              <w:t>1</w:t>
            </w:r>
          </w:p>
        </w:tc>
        <w:tc>
          <w:tcPr>
            <w:tcW w:w="3186" w:type="dxa"/>
          </w:tcPr>
          <w:p w14:paraId="7C2C8D4B">
            <w:pPr>
              <w:ind w:firstLine="0"/>
              <w:jc w:val="center"/>
              <w:rPr>
                <w:rFonts w:cs="Arial" w:eastAsiaTheme="minorEastAsia"/>
                <w:sz w:val="22"/>
                <w:lang w:val="ro-RO"/>
              </w:rPr>
            </w:pPr>
            <w:r>
              <w:rPr>
                <w:rFonts w:cs="Arial" w:eastAsiaTheme="minorEastAsia"/>
                <w:sz w:val="22"/>
                <w:lang w:val="ro-RO"/>
              </w:rPr>
              <w:t>Cerneți</w:t>
            </w:r>
          </w:p>
        </w:tc>
      </w:tr>
    </w:tbl>
    <w:p w14:paraId="492E1B6E">
      <w:pPr>
        <w:rPr>
          <w:rFonts w:cs="Arial"/>
          <w:sz w:val="22"/>
          <w:lang w:val="ro-RO"/>
        </w:rPr>
      </w:pPr>
    </w:p>
    <w:p w14:paraId="45CF06A7">
      <w:pPr>
        <w:ind w:firstLine="0"/>
        <w:rPr>
          <w:rFonts w:cs="Arial"/>
          <w:sz w:val="22"/>
          <w:lang w:val="ro-RO"/>
        </w:rPr>
      </w:pPr>
      <w:r>
        <w:rPr>
          <w:rFonts w:cs="Arial"/>
          <w:sz w:val="22"/>
          <w:lang w:val="ro-RO"/>
        </w:rPr>
        <w:t>Căminul Cultural Cerneți a fost reabilitat energetic.</w:t>
      </w:r>
    </w:p>
    <w:p w14:paraId="318689F7">
      <w:pPr>
        <w:rPr>
          <w:rFonts w:cs="Arial"/>
          <w:sz w:val="22"/>
          <w:lang w:val="ro-RO"/>
        </w:rPr>
      </w:pPr>
    </w:p>
    <w:p w14:paraId="1791BEA4">
      <w:pPr>
        <w:pStyle w:val="4"/>
        <w:numPr>
          <w:ilvl w:val="2"/>
          <w:numId w:val="8"/>
        </w:numPr>
        <w:rPr>
          <w:rFonts w:cs="Arial"/>
          <w:sz w:val="22"/>
          <w:szCs w:val="22"/>
          <w:lang w:val="ro-RO"/>
        </w:rPr>
      </w:pPr>
      <w:bookmarkStart w:id="46" w:name="_Toc201926324"/>
      <w:r>
        <w:rPr>
          <w:rFonts w:cs="Arial"/>
          <w:sz w:val="22"/>
          <w:szCs w:val="22"/>
          <w:lang w:val="ro-RO"/>
        </w:rPr>
        <w:t>Biserici</w:t>
      </w:r>
      <w:bookmarkEnd w:id="46"/>
      <w:r>
        <w:rPr>
          <w:rFonts w:cs="Arial"/>
          <w:sz w:val="22"/>
          <w:szCs w:val="22"/>
          <w:lang w:val="ro-RO"/>
        </w:rPr>
        <w:t xml:space="preserve"> </w:t>
      </w:r>
    </w:p>
    <w:p w14:paraId="253D6D7B">
      <w:pPr>
        <w:rPr>
          <w:rFonts w:cs="Arial"/>
          <w:sz w:val="22"/>
          <w:lang w:val="ro-RO"/>
        </w:rPr>
      </w:pPr>
      <w:r>
        <w:rPr>
          <w:rFonts w:cs="Arial"/>
          <w:sz w:val="22"/>
          <w:lang w:val="ro-RO"/>
        </w:rPr>
        <w:t>Pe teritoriul comunei au fost identificate o serie de monumente de arhitectură care pot constitui o resursă de turism religios și cultural. Din punct de vedere al turismului religios, satul Cerneți este probabil cel mai valoros deoarece pe teritoriul său se găsesc patru biserici, toate monumente istorice. Astfel, amintim Fosta mânăstire Cerneți (MH-II-a-A-10283), localizată în centrul satului și datând din sec. al XVII-lea și care conține Biserica Sf. Treime (MH-II-m-A-10283.01) și zid de incintă (MH-II-m-A-10283.02). De asemenea, Ansamblul bisericii Sf. Nicolae (MH-II-a-A-10284) care datează din sec. al XVIII-lea și care conține Biserica Sf. Nicolae (MH-II-a-A-10284.01) împreună cu zid de incintă (MH-II-m-A-10284.02). Tot în Cerneți regăsim Biserica Sf. Ioan Botezătorul (MH-II-m-B-10285) și Biserica Adormirea Maicii Domnului și Sf. Dumitru (MH-II-m-B-10286), ambele ridicate în secolul al XIX-lea.</w:t>
      </w:r>
    </w:p>
    <w:p w14:paraId="15E4164F">
      <w:pPr>
        <w:rPr>
          <w:rFonts w:cs="Arial"/>
          <w:sz w:val="22"/>
          <w:lang w:val="ro-RO"/>
        </w:rPr>
      </w:pPr>
      <w:r>
        <w:rPr>
          <w:rFonts w:cs="Arial"/>
          <w:sz w:val="22"/>
          <w:lang w:val="ro-RO"/>
        </w:rPr>
        <w:t>•</w:t>
      </w:r>
      <w:r>
        <w:rPr>
          <w:rFonts w:cs="Arial"/>
          <w:sz w:val="22"/>
          <w:lang w:val="ro-RO"/>
        </w:rPr>
        <w:tab/>
      </w:r>
      <w:r>
        <w:rPr>
          <w:rFonts w:cs="Arial"/>
          <w:sz w:val="22"/>
          <w:lang w:val="ro-RO"/>
        </w:rPr>
        <w:t>Cule</w:t>
      </w:r>
    </w:p>
    <w:p w14:paraId="62683D5B">
      <w:pPr>
        <w:rPr>
          <w:rFonts w:cs="Arial"/>
          <w:sz w:val="22"/>
          <w:lang w:val="ro-RO"/>
        </w:rPr>
      </w:pPr>
      <w:r>
        <w:rPr>
          <w:rFonts w:cs="Arial"/>
          <w:sz w:val="22"/>
          <w:lang w:val="ro-RO"/>
        </w:rPr>
        <w:t>Culele sunt case fortificate specifice teritoriului geografic al Olteniei, apărute în secolul al XVIII-lea. Ambele cule care sunt și monumente de arhitectură se regăsesc la nordul satului Cerneți și sunt Cula Nistor (MH-II-m-B-10288) și Cula Tudor Vladimirescu (MH-II-m-A-10287), ambele datând de la început de secol XIX. Cula lui Tudor Vladimirescu a funcționat ca muzeu între anii 1967 și 1977, axat pe istoria pandurilor. În 2009, Cula Nistor a devenit secție a Muzeului din Turnu Severin. Ambele case se află într-o stare de degradare și necesită reabilitare pentru a putea fi incluse din nou în circuitul turistic.</w:t>
      </w:r>
    </w:p>
    <w:p w14:paraId="7F6A800A">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6</w:t>
      </w:r>
      <w:r>
        <w:rPr>
          <w:sz w:val="22"/>
          <w:szCs w:val="22"/>
        </w:rPr>
        <w:fldChar w:fldCharType="end"/>
      </w:r>
      <w:r>
        <w:rPr>
          <w:sz w:val="22"/>
          <w:szCs w:val="22"/>
        </w:rPr>
        <w:t>. Bisericile din comuna Șimian</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742"/>
        <w:gridCol w:w="1634"/>
        <w:gridCol w:w="1493"/>
      </w:tblGrid>
      <w:tr w14:paraId="2B90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jc w:val="center"/>
        </w:trPr>
        <w:tc>
          <w:tcPr>
            <w:tcW w:w="3085" w:type="dxa"/>
            <w:shd w:val="clear" w:color="auto" w:fill="D8D8D8" w:themeFill="background1" w:themeFillShade="D9"/>
          </w:tcPr>
          <w:p w14:paraId="76909AAF">
            <w:pPr>
              <w:ind w:firstLine="0"/>
              <w:jc w:val="center"/>
              <w:rPr>
                <w:rFonts w:cs="Arial" w:eastAsiaTheme="minorEastAsia"/>
                <w:b/>
                <w:sz w:val="22"/>
                <w:lang w:val="ro-RO"/>
              </w:rPr>
            </w:pPr>
            <w:r>
              <w:rPr>
                <w:rFonts w:cs="Arial" w:eastAsiaTheme="minorEastAsia"/>
                <w:b/>
                <w:sz w:val="22"/>
                <w:lang w:val="ro-RO"/>
              </w:rPr>
              <w:t>Denumire</w:t>
            </w:r>
          </w:p>
        </w:tc>
        <w:tc>
          <w:tcPr>
            <w:tcW w:w="2742" w:type="dxa"/>
            <w:shd w:val="clear" w:color="auto" w:fill="D8D8D8" w:themeFill="background1" w:themeFillShade="D9"/>
          </w:tcPr>
          <w:p w14:paraId="248B25DC">
            <w:pPr>
              <w:ind w:firstLine="0"/>
              <w:jc w:val="center"/>
              <w:rPr>
                <w:rFonts w:cs="Arial" w:eastAsiaTheme="minorEastAsia"/>
                <w:b/>
                <w:sz w:val="22"/>
                <w:lang w:val="ro-RO"/>
              </w:rPr>
            </w:pPr>
            <w:r>
              <w:rPr>
                <w:rFonts w:cs="Arial" w:eastAsiaTheme="minorEastAsia"/>
                <w:b/>
                <w:sz w:val="22"/>
                <w:lang w:val="ro-RO"/>
              </w:rPr>
              <w:t>Localizare</w:t>
            </w:r>
          </w:p>
        </w:tc>
        <w:tc>
          <w:tcPr>
            <w:tcW w:w="1634" w:type="dxa"/>
            <w:shd w:val="clear" w:color="auto" w:fill="D8D8D8" w:themeFill="background1" w:themeFillShade="D9"/>
          </w:tcPr>
          <w:p w14:paraId="09382D2F">
            <w:pPr>
              <w:ind w:firstLine="0"/>
              <w:jc w:val="center"/>
              <w:rPr>
                <w:rFonts w:cs="Arial" w:eastAsiaTheme="minorEastAsia"/>
                <w:b/>
                <w:sz w:val="22"/>
                <w:lang w:val="ro-RO"/>
              </w:rPr>
            </w:pPr>
            <w:r>
              <w:rPr>
                <w:rFonts w:cs="Arial" w:eastAsiaTheme="minorEastAsia"/>
                <w:b/>
                <w:sz w:val="22"/>
                <w:lang w:val="ro-RO"/>
              </w:rPr>
              <w:t>Datare</w:t>
            </w:r>
          </w:p>
        </w:tc>
        <w:tc>
          <w:tcPr>
            <w:tcW w:w="1493" w:type="dxa"/>
            <w:shd w:val="clear" w:color="auto" w:fill="D8D8D8" w:themeFill="background1" w:themeFillShade="D9"/>
          </w:tcPr>
          <w:p w14:paraId="4B2A29C2">
            <w:pPr>
              <w:ind w:firstLine="0"/>
              <w:jc w:val="center"/>
              <w:rPr>
                <w:rFonts w:cs="Arial" w:eastAsiaTheme="minorEastAsia"/>
                <w:b/>
                <w:sz w:val="22"/>
                <w:lang w:val="ro-RO"/>
              </w:rPr>
            </w:pPr>
            <w:r>
              <w:rPr>
                <w:rFonts w:cs="Arial" w:eastAsiaTheme="minorEastAsia"/>
                <w:b/>
                <w:sz w:val="22"/>
                <w:lang w:val="ro-RO"/>
              </w:rPr>
              <w:t>Rit</w:t>
            </w:r>
          </w:p>
        </w:tc>
      </w:tr>
      <w:tr w14:paraId="114B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3085" w:type="dxa"/>
          </w:tcPr>
          <w:p w14:paraId="6D4DA702">
            <w:pPr>
              <w:ind w:firstLine="0"/>
              <w:jc w:val="left"/>
              <w:rPr>
                <w:rFonts w:cs="Arial" w:eastAsiaTheme="minorEastAsia"/>
                <w:sz w:val="22"/>
                <w:lang w:val="ro-RO"/>
              </w:rPr>
            </w:pPr>
            <w:r>
              <w:rPr>
                <w:rFonts w:cs="Arial" w:eastAsiaTheme="minorEastAsia"/>
                <w:spacing w:val="1"/>
                <w:position w:val="-1"/>
                <w:sz w:val="22"/>
                <w:lang w:val="ro-RO"/>
              </w:rPr>
              <w:t>B</w:t>
            </w:r>
            <w:r>
              <w:rPr>
                <w:rFonts w:cs="Arial" w:eastAsiaTheme="minorEastAsia"/>
                <w:position w:val="-1"/>
                <w:sz w:val="22"/>
                <w:lang w:val="ro-RO"/>
              </w:rPr>
              <w:t>is</w:t>
            </w:r>
            <w:r>
              <w:rPr>
                <w:rFonts w:cs="Arial" w:eastAsiaTheme="minorEastAsia"/>
                <w:spacing w:val="1"/>
                <w:position w:val="-1"/>
                <w:sz w:val="22"/>
                <w:lang w:val="ro-RO"/>
              </w:rPr>
              <w:t>er</w:t>
            </w:r>
            <w:r>
              <w:rPr>
                <w:rFonts w:cs="Arial" w:eastAsiaTheme="minorEastAsia"/>
                <w:position w:val="-1"/>
                <w:sz w:val="22"/>
                <w:lang w:val="ro-RO"/>
              </w:rPr>
              <w:t xml:space="preserve">ica  </w:t>
            </w:r>
            <w:r>
              <w:rPr>
                <w:rFonts w:cs="Arial" w:eastAsiaTheme="minorEastAsia"/>
                <w:spacing w:val="54"/>
                <w:position w:val="-1"/>
                <w:sz w:val="22"/>
                <w:lang w:val="ro-RO"/>
              </w:rPr>
              <w:t xml:space="preserve"> </w:t>
            </w:r>
            <w:r>
              <w:rPr>
                <w:rFonts w:cs="Arial" w:eastAsiaTheme="minorEastAsia"/>
                <w:position w:val="-1"/>
                <w:sz w:val="22"/>
                <w:lang w:val="ro-RO"/>
              </w:rPr>
              <w:t>Domnească Sf.Treime</w:t>
            </w:r>
          </w:p>
        </w:tc>
        <w:tc>
          <w:tcPr>
            <w:tcW w:w="2742" w:type="dxa"/>
          </w:tcPr>
          <w:p w14:paraId="570CFAA0">
            <w:pPr>
              <w:ind w:firstLine="0"/>
              <w:jc w:val="center"/>
              <w:rPr>
                <w:rFonts w:cs="Arial" w:eastAsiaTheme="minorEastAsia"/>
                <w:sz w:val="22"/>
                <w:lang w:val="ro-RO"/>
              </w:rPr>
            </w:pPr>
            <w:r>
              <w:rPr>
                <w:rFonts w:cs="Arial" w:eastAsiaTheme="minorEastAsia"/>
                <w:sz w:val="22"/>
                <w:lang w:val="ro-RO"/>
              </w:rPr>
              <w:t>Cerneți</w:t>
            </w:r>
          </w:p>
        </w:tc>
        <w:tc>
          <w:tcPr>
            <w:tcW w:w="1634" w:type="dxa"/>
          </w:tcPr>
          <w:p w14:paraId="27F7B28E">
            <w:pPr>
              <w:ind w:firstLine="0"/>
              <w:jc w:val="center"/>
              <w:rPr>
                <w:rFonts w:cs="Arial" w:eastAsiaTheme="minorEastAsia"/>
                <w:sz w:val="22"/>
                <w:lang w:val="ro-RO"/>
              </w:rPr>
            </w:pPr>
            <w:r>
              <w:rPr>
                <w:rFonts w:cs="Arial" w:eastAsiaTheme="minorEastAsia"/>
                <w:sz w:val="22"/>
                <w:lang w:val="ro-RO"/>
              </w:rPr>
              <w:t>1633</w:t>
            </w:r>
          </w:p>
        </w:tc>
        <w:tc>
          <w:tcPr>
            <w:tcW w:w="1493" w:type="dxa"/>
          </w:tcPr>
          <w:p w14:paraId="6489B0AC">
            <w:pPr>
              <w:ind w:firstLine="0"/>
              <w:jc w:val="center"/>
              <w:rPr>
                <w:rFonts w:cs="Arial" w:eastAsiaTheme="minorEastAsia"/>
                <w:sz w:val="22"/>
                <w:lang w:val="ro-RO"/>
              </w:rPr>
            </w:pPr>
            <w:r>
              <w:rPr>
                <w:rFonts w:cs="Arial" w:eastAsiaTheme="minorEastAsia"/>
                <w:sz w:val="22"/>
                <w:lang w:val="ro-RO"/>
              </w:rPr>
              <w:t>ortodox</w:t>
            </w:r>
          </w:p>
        </w:tc>
      </w:tr>
      <w:tr w14:paraId="5A41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3085" w:type="dxa"/>
          </w:tcPr>
          <w:p w14:paraId="2056137E">
            <w:pPr>
              <w:ind w:firstLine="0"/>
              <w:jc w:val="left"/>
              <w:rPr>
                <w:rFonts w:cs="Arial" w:eastAsiaTheme="minorEastAsia"/>
                <w:spacing w:val="1"/>
                <w:position w:val="-1"/>
                <w:sz w:val="22"/>
                <w:lang w:val="ro-RO"/>
              </w:rPr>
            </w:pPr>
            <w:r>
              <w:rPr>
                <w:rFonts w:cs="Arial" w:eastAsiaTheme="minorEastAsia"/>
                <w:spacing w:val="1"/>
                <w:position w:val="-1"/>
                <w:sz w:val="22"/>
                <w:lang w:val="ro-RO"/>
              </w:rPr>
              <w:t>Biserica Sf.Nicolae</w:t>
            </w:r>
          </w:p>
        </w:tc>
        <w:tc>
          <w:tcPr>
            <w:tcW w:w="2742" w:type="dxa"/>
          </w:tcPr>
          <w:p w14:paraId="21368458">
            <w:pPr>
              <w:ind w:firstLine="0"/>
              <w:jc w:val="center"/>
              <w:rPr>
                <w:rFonts w:cs="Arial" w:eastAsiaTheme="minorEastAsia"/>
                <w:sz w:val="22"/>
                <w:lang w:val="ro-RO"/>
              </w:rPr>
            </w:pPr>
            <w:r>
              <w:rPr>
                <w:rFonts w:cs="Arial" w:eastAsiaTheme="minorEastAsia"/>
                <w:sz w:val="22"/>
                <w:lang w:val="ro-RO"/>
              </w:rPr>
              <w:t>Cerneți</w:t>
            </w:r>
          </w:p>
        </w:tc>
        <w:tc>
          <w:tcPr>
            <w:tcW w:w="1634" w:type="dxa"/>
          </w:tcPr>
          <w:p w14:paraId="437FE6F4">
            <w:pPr>
              <w:ind w:firstLine="0"/>
              <w:jc w:val="center"/>
              <w:rPr>
                <w:rFonts w:cs="Arial" w:eastAsiaTheme="minorEastAsia"/>
                <w:sz w:val="22"/>
                <w:lang w:val="ro-RO"/>
              </w:rPr>
            </w:pPr>
            <w:r>
              <w:rPr>
                <w:rFonts w:cs="Arial" w:eastAsiaTheme="minorEastAsia"/>
                <w:sz w:val="22"/>
                <w:lang w:val="ro-RO"/>
              </w:rPr>
              <w:t>1794</w:t>
            </w:r>
          </w:p>
        </w:tc>
        <w:tc>
          <w:tcPr>
            <w:tcW w:w="1493" w:type="dxa"/>
          </w:tcPr>
          <w:p w14:paraId="1CCC0751">
            <w:pPr>
              <w:ind w:firstLine="0"/>
              <w:jc w:val="center"/>
              <w:rPr>
                <w:rFonts w:cs="Arial" w:eastAsiaTheme="minorEastAsia"/>
                <w:sz w:val="22"/>
                <w:lang w:val="ro-RO"/>
              </w:rPr>
            </w:pPr>
            <w:r>
              <w:rPr>
                <w:rFonts w:cs="Arial" w:eastAsiaTheme="minorEastAsia"/>
                <w:sz w:val="22"/>
                <w:lang w:val="ro-RO"/>
              </w:rPr>
              <w:t>ortodox</w:t>
            </w:r>
          </w:p>
        </w:tc>
      </w:tr>
      <w:tr w14:paraId="039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3085" w:type="dxa"/>
          </w:tcPr>
          <w:p w14:paraId="1DA85ACD">
            <w:pPr>
              <w:ind w:firstLine="0"/>
              <w:jc w:val="left"/>
              <w:rPr>
                <w:rFonts w:cs="Arial" w:eastAsiaTheme="minorEastAsia"/>
                <w:sz w:val="22"/>
                <w:lang w:val="ro-RO"/>
              </w:rPr>
            </w:pPr>
            <w:r>
              <w:rPr>
                <w:rFonts w:cs="Arial" w:eastAsiaTheme="minorEastAsia"/>
                <w:sz w:val="22"/>
                <w:lang w:val="ro-RO"/>
              </w:rPr>
              <w:t>Biserica Sf. Ioan Botezătorul</w:t>
            </w:r>
          </w:p>
        </w:tc>
        <w:tc>
          <w:tcPr>
            <w:tcW w:w="2742" w:type="dxa"/>
          </w:tcPr>
          <w:p w14:paraId="5EB03626">
            <w:pPr>
              <w:ind w:firstLine="0"/>
              <w:jc w:val="center"/>
              <w:rPr>
                <w:rFonts w:cs="Arial" w:eastAsiaTheme="minorEastAsia"/>
                <w:sz w:val="22"/>
                <w:lang w:val="ro-RO"/>
              </w:rPr>
            </w:pPr>
            <w:r>
              <w:rPr>
                <w:rFonts w:cs="Arial" w:eastAsiaTheme="minorEastAsia"/>
                <w:sz w:val="22"/>
                <w:lang w:val="ro-RO"/>
              </w:rPr>
              <w:t>Cerneți</w:t>
            </w:r>
          </w:p>
        </w:tc>
        <w:tc>
          <w:tcPr>
            <w:tcW w:w="1634" w:type="dxa"/>
          </w:tcPr>
          <w:p w14:paraId="291A3B2E">
            <w:pPr>
              <w:ind w:firstLine="0"/>
              <w:jc w:val="center"/>
              <w:rPr>
                <w:rFonts w:cs="Arial" w:eastAsiaTheme="minorEastAsia"/>
                <w:sz w:val="22"/>
                <w:lang w:val="ro-RO"/>
              </w:rPr>
            </w:pPr>
            <w:r>
              <w:rPr>
                <w:rFonts w:cs="Arial" w:eastAsiaTheme="minorEastAsia"/>
                <w:sz w:val="22"/>
                <w:lang w:val="ro-RO"/>
              </w:rPr>
              <w:t>1820</w:t>
            </w:r>
          </w:p>
        </w:tc>
        <w:tc>
          <w:tcPr>
            <w:tcW w:w="1493" w:type="dxa"/>
          </w:tcPr>
          <w:p w14:paraId="6E5D1259">
            <w:pPr>
              <w:ind w:firstLine="0"/>
              <w:jc w:val="center"/>
              <w:rPr>
                <w:rFonts w:cs="Arial" w:eastAsiaTheme="minorEastAsia"/>
                <w:sz w:val="22"/>
                <w:lang w:val="ro-RO"/>
              </w:rPr>
            </w:pPr>
            <w:r>
              <w:rPr>
                <w:rFonts w:cs="Arial" w:eastAsiaTheme="minorEastAsia"/>
                <w:sz w:val="22"/>
                <w:lang w:val="ro-RO"/>
              </w:rPr>
              <w:t>ortodox</w:t>
            </w:r>
          </w:p>
        </w:tc>
      </w:tr>
      <w:tr w14:paraId="2E64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3085" w:type="dxa"/>
          </w:tcPr>
          <w:p w14:paraId="26F94359">
            <w:pPr>
              <w:ind w:firstLine="0"/>
              <w:jc w:val="left"/>
              <w:rPr>
                <w:rFonts w:cs="Arial" w:eastAsiaTheme="minorEastAsia"/>
                <w:sz w:val="22"/>
                <w:lang w:val="ro-RO"/>
              </w:rPr>
            </w:pPr>
            <w:r>
              <w:rPr>
                <w:rFonts w:cs="Arial" w:eastAsiaTheme="minorEastAsia"/>
                <w:sz w:val="22"/>
                <w:lang w:val="ro-RO"/>
              </w:rPr>
              <w:t>Biserica Adormirea Maicii Domnului, Sf. Dumitru</w:t>
            </w:r>
          </w:p>
        </w:tc>
        <w:tc>
          <w:tcPr>
            <w:tcW w:w="2742" w:type="dxa"/>
          </w:tcPr>
          <w:p w14:paraId="43996D9F">
            <w:pPr>
              <w:ind w:firstLine="0"/>
              <w:jc w:val="center"/>
              <w:rPr>
                <w:rFonts w:cs="Arial" w:eastAsiaTheme="minorEastAsia"/>
                <w:sz w:val="22"/>
                <w:lang w:val="ro-RO"/>
              </w:rPr>
            </w:pPr>
            <w:r>
              <w:rPr>
                <w:rFonts w:cs="Arial" w:eastAsiaTheme="minorEastAsia"/>
                <w:sz w:val="22"/>
                <w:lang w:val="ro-RO"/>
              </w:rPr>
              <w:t>Cerneți</w:t>
            </w:r>
          </w:p>
        </w:tc>
        <w:tc>
          <w:tcPr>
            <w:tcW w:w="1634" w:type="dxa"/>
          </w:tcPr>
          <w:p w14:paraId="700F40C1">
            <w:pPr>
              <w:ind w:firstLine="0"/>
              <w:jc w:val="center"/>
              <w:rPr>
                <w:rFonts w:cs="Arial" w:eastAsiaTheme="minorEastAsia"/>
                <w:sz w:val="22"/>
                <w:lang w:val="ro-RO"/>
              </w:rPr>
            </w:pPr>
            <w:r>
              <w:rPr>
                <w:rFonts w:cs="Arial" w:eastAsiaTheme="minorEastAsia"/>
                <w:sz w:val="22"/>
                <w:lang w:val="ro-RO"/>
              </w:rPr>
              <w:t>1814</w:t>
            </w:r>
          </w:p>
        </w:tc>
        <w:tc>
          <w:tcPr>
            <w:tcW w:w="1493" w:type="dxa"/>
          </w:tcPr>
          <w:p w14:paraId="14341DB5">
            <w:pPr>
              <w:ind w:firstLine="0"/>
              <w:jc w:val="center"/>
              <w:rPr>
                <w:rFonts w:cs="Arial" w:eastAsiaTheme="minorEastAsia"/>
                <w:sz w:val="22"/>
                <w:lang w:val="ro-RO"/>
              </w:rPr>
            </w:pPr>
            <w:r>
              <w:rPr>
                <w:rFonts w:cs="Arial" w:eastAsiaTheme="minorEastAsia"/>
                <w:sz w:val="22"/>
                <w:lang w:val="ro-RO"/>
              </w:rPr>
              <w:t>ortodox</w:t>
            </w:r>
          </w:p>
        </w:tc>
      </w:tr>
      <w:tr w14:paraId="5A33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3085" w:type="dxa"/>
          </w:tcPr>
          <w:p w14:paraId="5D4F7CCA">
            <w:pPr>
              <w:ind w:firstLine="0"/>
              <w:jc w:val="left"/>
              <w:rPr>
                <w:rFonts w:cs="Arial" w:eastAsiaTheme="minorEastAsia"/>
                <w:sz w:val="22"/>
                <w:lang w:val="ro-RO"/>
              </w:rPr>
            </w:pPr>
            <w:r>
              <w:rPr>
                <w:rFonts w:cs="Arial" w:eastAsiaTheme="minorEastAsia"/>
                <w:sz w:val="22"/>
                <w:lang w:val="ro-RO"/>
              </w:rPr>
              <w:t>Biserica Sf. Apostoli Petru și Pavel</w:t>
            </w:r>
          </w:p>
        </w:tc>
        <w:tc>
          <w:tcPr>
            <w:tcW w:w="2742" w:type="dxa"/>
          </w:tcPr>
          <w:p w14:paraId="4D7349A4">
            <w:pPr>
              <w:ind w:firstLine="0"/>
              <w:jc w:val="center"/>
              <w:rPr>
                <w:rFonts w:cs="Arial" w:eastAsiaTheme="minorEastAsia"/>
                <w:sz w:val="22"/>
                <w:lang w:val="ro-RO"/>
              </w:rPr>
            </w:pPr>
            <w:r>
              <w:rPr>
                <w:rFonts w:cs="Arial" w:eastAsiaTheme="minorEastAsia"/>
                <w:sz w:val="22"/>
                <w:lang w:val="ro-RO"/>
              </w:rPr>
              <w:t>Poroina</w:t>
            </w:r>
          </w:p>
        </w:tc>
        <w:tc>
          <w:tcPr>
            <w:tcW w:w="1634" w:type="dxa"/>
          </w:tcPr>
          <w:p w14:paraId="5ADD06DF">
            <w:pPr>
              <w:ind w:firstLine="0"/>
              <w:jc w:val="center"/>
              <w:rPr>
                <w:rFonts w:cs="Arial" w:eastAsiaTheme="minorEastAsia"/>
                <w:sz w:val="22"/>
                <w:lang w:val="ro-RO"/>
              </w:rPr>
            </w:pPr>
            <w:r>
              <w:rPr>
                <w:rFonts w:cs="Arial" w:eastAsiaTheme="minorEastAsia"/>
                <w:sz w:val="22"/>
                <w:lang w:val="ro-RO"/>
              </w:rPr>
              <w:t>1845</w:t>
            </w:r>
          </w:p>
        </w:tc>
        <w:tc>
          <w:tcPr>
            <w:tcW w:w="1493" w:type="dxa"/>
          </w:tcPr>
          <w:p w14:paraId="6C5D813C">
            <w:pPr>
              <w:ind w:firstLine="0"/>
              <w:jc w:val="center"/>
              <w:rPr>
                <w:rFonts w:cs="Arial" w:eastAsiaTheme="minorEastAsia"/>
                <w:sz w:val="22"/>
                <w:lang w:val="ro-RO"/>
              </w:rPr>
            </w:pPr>
            <w:r>
              <w:rPr>
                <w:rFonts w:cs="Arial" w:eastAsiaTheme="minorEastAsia"/>
                <w:sz w:val="22"/>
                <w:lang w:val="ro-RO"/>
              </w:rPr>
              <w:t>ortodox</w:t>
            </w:r>
          </w:p>
        </w:tc>
      </w:tr>
      <w:tr w14:paraId="6E58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3085" w:type="dxa"/>
          </w:tcPr>
          <w:p w14:paraId="10741733">
            <w:pPr>
              <w:ind w:firstLine="0"/>
              <w:jc w:val="left"/>
              <w:rPr>
                <w:rFonts w:cs="Arial" w:eastAsiaTheme="minorEastAsia"/>
                <w:sz w:val="22"/>
                <w:lang w:val="ro-RO"/>
              </w:rPr>
            </w:pPr>
            <w:r>
              <w:rPr>
                <w:rFonts w:cs="Arial" w:eastAsiaTheme="minorEastAsia"/>
                <w:sz w:val="22"/>
                <w:lang w:val="ro-RO"/>
              </w:rPr>
              <w:t>Biserica Adormirea Maicii Domnului</w:t>
            </w:r>
          </w:p>
        </w:tc>
        <w:tc>
          <w:tcPr>
            <w:tcW w:w="2742" w:type="dxa"/>
          </w:tcPr>
          <w:p w14:paraId="50AAB088">
            <w:pPr>
              <w:ind w:firstLine="0"/>
              <w:jc w:val="center"/>
              <w:rPr>
                <w:rFonts w:cs="Arial" w:eastAsiaTheme="minorEastAsia"/>
                <w:sz w:val="22"/>
                <w:lang w:val="ro-RO"/>
              </w:rPr>
            </w:pPr>
            <w:r>
              <w:rPr>
                <w:rFonts w:cs="Arial" w:eastAsiaTheme="minorEastAsia"/>
                <w:sz w:val="22"/>
                <w:lang w:val="ro-RO"/>
              </w:rPr>
              <w:t>Șimian</w:t>
            </w:r>
          </w:p>
        </w:tc>
        <w:tc>
          <w:tcPr>
            <w:tcW w:w="1634" w:type="dxa"/>
          </w:tcPr>
          <w:p w14:paraId="3F43234E">
            <w:pPr>
              <w:ind w:firstLine="0"/>
              <w:jc w:val="center"/>
              <w:rPr>
                <w:rFonts w:cs="Arial" w:eastAsiaTheme="minorEastAsia"/>
                <w:sz w:val="22"/>
                <w:lang w:val="ro-RO"/>
              </w:rPr>
            </w:pPr>
            <w:r>
              <w:rPr>
                <w:rFonts w:cs="Arial" w:eastAsiaTheme="minorEastAsia"/>
                <w:sz w:val="22"/>
                <w:lang w:val="ro-RO"/>
              </w:rPr>
              <w:t>1896-1906</w:t>
            </w:r>
          </w:p>
        </w:tc>
        <w:tc>
          <w:tcPr>
            <w:tcW w:w="1493" w:type="dxa"/>
          </w:tcPr>
          <w:p w14:paraId="0DAE2F45">
            <w:pPr>
              <w:ind w:firstLine="0"/>
              <w:jc w:val="center"/>
              <w:rPr>
                <w:rFonts w:cs="Arial" w:eastAsiaTheme="minorEastAsia"/>
                <w:sz w:val="22"/>
                <w:lang w:val="ro-RO"/>
              </w:rPr>
            </w:pPr>
            <w:r>
              <w:rPr>
                <w:rFonts w:cs="Arial" w:eastAsiaTheme="minorEastAsia"/>
                <w:sz w:val="22"/>
                <w:lang w:val="ro-RO"/>
              </w:rPr>
              <w:t>ortodox</w:t>
            </w:r>
          </w:p>
        </w:tc>
      </w:tr>
      <w:tr w14:paraId="6D6B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3085" w:type="dxa"/>
          </w:tcPr>
          <w:p w14:paraId="479A1656">
            <w:pPr>
              <w:ind w:firstLine="0"/>
              <w:jc w:val="left"/>
              <w:rPr>
                <w:rFonts w:cs="Arial" w:eastAsiaTheme="minorEastAsia"/>
                <w:sz w:val="22"/>
                <w:lang w:val="ro-RO"/>
              </w:rPr>
            </w:pPr>
            <w:r>
              <w:rPr>
                <w:rFonts w:cs="Arial" w:eastAsiaTheme="minorEastAsia"/>
                <w:sz w:val="22"/>
                <w:lang w:val="ro-RO"/>
              </w:rPr>
              <w:t>Biserica „Sfântul Apostol Toma”</w:t>
            </w:r>
          </w:p>
        </w:tc>
        <w:tc>
          <w:tcPr>
            <w:tcW w:w="2742" w:type="dxa"/>
          </w:tcPr>
          <w:p w14:paraId="7D57C92A">
            <w:pPr>
              <w:ind w:firstLine="0"/>
              <w:jc w:val="center"/>
              <w:rPr>
                <w:rFonts w:cs="Arial" w:eastAsiaTheme="minorEastAsia"/>
                <w:sz w:val="22"/>
                <w:lang w:val="ro-RO"/>
              </w:rPr>
            </w:pPr>
            <w:r>
              <w:rPr>
                <w:rFonts w:cs="Arial" w:eastAsiaTheme="minorEastAsia"/>
                <w:sz w:val="22"/>
                <w:lang w:val="ro-RO"/>
              </w:rPr>
              <w:t>Dedovița Nouă</w:t>
            </w:r>
          </w:p>
        </w:tc>
        <w:tc>
          <w:tcPr>
            <w:tcW w:w="1634" w:type="dxa"/>
          </w:tcPr>
          <w:p w14:paraId="2BCD4DFD">
            <w:pPr>
              <w:ind w:firstLine="0"/>
              <w:jc w:val="center"/>
              <w:rPr>
                <w:rFonts w:cs="Arial" w:eastAsiaTheme="minorEastAsia"/>
                <w:sz w:val="22"/>
                <w:lang w:val="ro-RO"/>
              </w:rPr>
            </w:pPr>
            <w:r>
              <w:rPr>
                <w:rFonts w:cs="Arial" w:eastAsiaTheme="minorEastAsia"/>
                <w:sz w:val="22"/>
                <w:lang w:val="ro-RO"/>
              </w:rPr>
              <w:t>2006-2018</w:t>
            </w:r>
          </w:p>
        </w:tc>
        <w:tc>
          <w:tcPr>
            <w:tcW w:w="1493" w:type="dxa"/>
          </w:tcPr>
          <w:p w14:paraId="7E35B4F4">
            <w:pPr>
              <w:ind w:firstLine="0"/>
              <w:jc w:val="center"/>
              <w:rPr>
                <w:rFonts w:cs="Arial" w:eastAsiaTheme="minorEastAsia"/>
                <w:sz w:val="22"/>
                <w:lang w:val="ro-RO"/>
              </w:rPr>
            </w:pPr>
            <w:r>
              <w:rPr>
                <w:rFonts w:cs="Arial" w:eastAsiaTheme="minorEastAsia"/>
                <w:sz w:val="22"/>
                <w:lang w:val="ro-RO"/>
              </w:rPr>
              <w:t>ortodox</w:t>
            </w:r>
          </w:p>
        </w:tc>
      </w:tr>
      <w:tr w14:paraId="484E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3085" w:type="dxa"/>
          </w:tcPr>
          <w:p w14:paraId="61047B25">
            <w:pPr>
              <w:ind w:firstLine="0"/>
              <w:jc w:val="left"/>
              <w:rPr>
                <w:rFonts w:cs="Arial" w:eastAsiaTheme="minorEastAsia"/>
                <w:sz w:val="22"/>
                <w:lang w:val="ro-RO"/>
              </w:rPr>
            </w:pPr>
            <w:r>
              <w:rPr>
                <w:rFonts w:cs="Arial" w:eastAsiaTheme="minorEastAsia"/>
                <w:sz w:val="22"/>
                <w:lang w:val="ro-RO"/>
              </w:rPr>
              <w:t>Biserica “Sfântul Mare Mucenic Dimitrie”</w:t>
            </w:r>
          </w:p>
        </w:tc>
        <w:tc>
          <w:tcPr>
            <w:tcW w:w="2742" w:type="dxa"/>
          </w:tcPr>
          <w:p w14:paraId="03F51615">
            <w:pPr>
              <w:ind w:firstLine="0"/>
              <w:jc w:val="center"/>
              <w:rPr>
                <w:rFonts w:cs="Arial" w:eastAsiaTheme="minorEastAsia"/>
                <w:sz w:val="22"/>
                <w:lang w:val="ro-RO"/>
              </w:rPr>
            </w:pPr>
            <w:r>
              <w:rPr>
                <w:rFonts w:cs="Arial" w:eastAsiaTheme="minorEastAsia"/>
                <w:sz w:val="22"/>
                <w:lang w:val="ro-RO"/>
              </w:rPr>
              <w:t>Dudașu</w:t>
            </w:r>
          </w:p>
        </w:tc>
        <w:tc>
          <w:tcPr>
            <w:tcW w:w="1634" w:type="dxa"/>
          </w:tcPr>
          <w:p w14:paraId="6C5CDCB9">
            <w:pPr>
              <w:ind w:firstLine="0"/>
              <w:jc w:val="center"/>
              <w:rPr>
                <w:rFonts w:cs="Arial" w:eastAsiaTheme="minorEastAsia"/>
                <w:sz w:val="22"/>
                <w:lang w:val="ro-RO"/>
              </w:rPr>
            </w:pPr>
            <w:r>
              <w:rPr>
                <w:rFonts w:cs="Arial" w:eastAsiaTheme="minorEastAsia"/>
                <w:sz w:val="22"/>
                <w:lang w:val="ro-RO"/>
              </w:rPr>
              <w:t>2002-2010</w:t>
            </w:r>
          </w:p>
        </w:tc>
        <w:tc>
          <w:tcPr>
            <w:tcW w:w="1493" w:type="dxa"/>
          </w:tcPr>
          <w:p w14:paraId="418C8EC8">
            <w:pPr>
              <w:ind w:firstLine="0"/>
              <w:jc w:val="center"/>
              <w:rPr>
                <w:rFonts w:cs="Arial" w:eastAsiaTheme="minorEastAsia"/>
                <w:sz w:val="22"/>
                <w:lang w:val="ro-RO"/>
              </w:rPr>
            </w:pPr>
            <w:r>
              <w:rPr>
                <w:rFonts w:cs="Arial" w:eastAsiaTheme="minorEastAsia"/>
                <w:sz w:val="22"/>
                <w:lang w:val="ro-RO"/>
              </w:rPr>
              <w:t>ortodox</w:t>
            </w:r>
          </w:p>
        </w:tc>
      </w:tr>
      <w:tr w14:paraId="0DD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jc w:val="center"/>
        </w:trPr>
        <w:tc>
          <w:tcPr>
            <w:tcW w:w="3085" w:type="dxa"/>
          </w:tcPr>
          <w:p w14:paraId="02A9E636">
            <w:pPr>
              <w:ind w:firstLine="0"/>
              <w:jc w:val="left"/>
              <w:rPr>
                <w:rFonts w:cs="Arial" w:eastAsiaTheme="minorEastAsia"/>
                <w:sz w:val="22"/>
                <w:lang w:val="ro-RO"/>
              </w:rPr>
            </w:pPr>
            <w:r>
              <w:rPr>
                <w:rFonts w:cs="Arial" w:eastAsiaTheme="minorEastAsia"/>
                <w:sz w:val="22"/>
                <w:lang w:val="ro-RO"/>
              </w:rPr>
              <w:t>Biserica “Sf. Mare  Mucenic Gheorghe”</w:t>
            </w:r>
          </w:p>
        </w:tc>
        <w:tc>
          <w:tcPr>
            <w:tcW w:w="2742" w:type="dxa"/>
          </w:tcPr>
          <w:p w14:paraId="4AF14B4E">
            <w:pPr>
              <w:ind w:firstLine="0"/>
              <w:jc w:val="center"/>
              <w:rPr>
                <w:rFonts w:cs="Arial" w:eastAsiaTheme="minorEastAsia"/>
                <w:sz w:val="22"/>
                <w:lang w:val="ro-RO"/>
              </w:rPr>
            </w:pPr>
            <w:r>
              <w:rPr>
                <w:rFonts w:cs="Arial" w:eastAsiaTheme="minorEastAsia"/>
                <w:sz w:val="22"/>
                <w:lang w:val="ro-RO"/>
              </w:rPr>
              <w:t>Erghevița</w:t>
            </w:r>
          </w:p>
        </w:tc>
        <w:tc>
          <w:tcPr>
            <w:tcW w:w="1634" w:type="dxa"/>
          </w:tcPr>
          <w:p w14:paraId="25E2D731">
            <w:pPr>
              <w:ind w:firstLine="0"/>
              <w:jc w:val="center"/>
              <w:rPr>
                <w:rFonts w:cs="Arial" w:eastAsiaTheme="minorEastAsia"/>
                <w:sz w:val="22"/>
                <w:lang w:val="ro-RO"/>
              </w:rPr>
            </w:pPr>
            <w:r>
              <w:rPr>
                <w:rFonts w:cs="Arial" w:eastAsiaTheme="minorEastAsia"/>
                <w:sz w:val="22"/>
                <w:lang w:val="ro-RO"/>
              </w:rPr>
              <w:t>1887</w:t>
            </w:r>
          </w:p>
        </w:tc>
        <w:tc>
          <w:tcPr>
            <w:tcW w:w="1493" w:type="dxa"/>
          </w:tcPr>
          <w:p w14:paraId="0A6633D8">
            <w:pPr>
              <w:ind w:firstLine="0"/>
              <w:jc w:val="center"/>
              <w:rPr>
                <w:rFonts w:cs="Arial" w:eastAsiaTheme="minorEastAsia"/>
                <w:sz w:val="22"/>
                <w:lang w:val="ro-RO"/>
              </w:rPr>
            </w:pPr>
            <w:r>
              <w:rPr>
                <w:rFonts w:cs="Arial" w:eastAsiaTheme="minorEastAsia"/>
                <w:sz w:val="22"/>
                <w:lang w:val="ro-RO"/>
              </w:rPr>
              <w:t>ortodox</w:t>
            </w:r>
          </w:p>
        </w:tc>
      </w:tr>
    </w:tbl>
    <w:p w14:paraId="4308D788">
      <w:pPr>
        <w:ind w:firstLine="0"/>
        <w:jc w:val="center"/>
        <w:rPr>
          <w:rFonts w:cs="Arial"/>
          <w:i/>
          <w:iCs/>
          <w:sz w:val="22"/>
          <w:lang w:val="ro-RO"/>
        </w:rPr>
      </w:pPr>
      <w:r>
        <w:rPr>
          <w:rFonts w:cs="Arial"/>
          <w:i/>
          <w:iCs/>
          <w:sz w:val="22"/>
          <w:lang w:val="ro-RO"/>
        </w:rPr>
        <w:t>Sursa: PUG, 2023</w:t>
      </w:r>
    </w:p>
    <w:p w14:paraId="4D4B487C">
      <w:pPr>
        <w:pStyle w:val="3"/>
        <w:numPr>
          <w:ilvl w:val="1"/>
          <w:numId w:val="8"/>
        </w:numPr>
        <w:rPr>
          <w:rFonts w:cs="Arial"/>
          <w:sz w:val="22"/>
          <w:szCs w:val="22"/>
          <w:lang w:val="ro-RO"/>
        </w:rPr>
      </w:pPr>
      <w:bookmarkStart w:id="47" w:name="_Toc201926325"/>
      <w:r>
        <w:rPr>
          <w:rFonts w:cs="Arial"/>
          <w:sz w:val="22"/>
          <w:szCs w:val="22"/>
          <w:lang w:val="ro-RO"/>
        </w:rPr>
        <w:t>RESURSE UMANE- PIAŢA MUNCII</w:t>
      </w:r>
      <w:bookmarkEnd w:id="47"/>
    </w:p>
    <w:p w14:paraId="03E5003F">
      <w:pPr>
        <w:pStyle w:val="4"/>
        <w:numPr>
          <w:ilvl w:val="2"/>
          <w:numId w:val="8"/>
        </w:numPr>
        <w:rPr>
          <w:rFonts w:cs="Arial"/>
          <w:sz w:val="22"/>
          <w:szCs w:val="22"/>
          <w:lang w:val="ro-RO"/>
        </w:rPr>
      </w:pPr>
      <w:bookmarkStart w:id="48" w:name="_Toc201926326"/>
      <w:r>
        <w:rPr>
          <w:rFonts w:cs="Arial"/>
          <w:sz w:val="22"/>
          <w:szCs w:val="22"/>
          <w:lang w:val="ro-RO"/>
        </w:rPr>
        <w:t>Structura socio–demografică a populaţiei</w:t>
      </w:r>
      <w:bookmarkEnd w:id="48"/>
      <w:r>
        <w:rPr>
          <w:rFonts w:cs="Arial"/>
          <w:sz w:val="22"/>
          <w:szCs w:val="22"/>
          <w:lang w:val="ro-RO"/>
        </w:rPr>
        <w:t xml:space="preserve"> </w:t>
      </w:r>
    </w:p>
    <w:p w14:paraId="4B5E9705">
      <w:pPr>
        <w:rPr>
          <w:rFonts w:cs="Arial"/>
          <w:sz w:val="22"/>
          <w:lang w:val="ro-RO"/>
        </w:rPr>
      </w:pPr>
      <w:r>
        <w:rPr>
          <w:rFonts w:cs="Arial"/>
          <w:sz w:val="22"/>
        </w:rPr>
        <w:t>Conform </w:t>
      </w:r>
      <w:r>
        <w:rPr>
          <w:rFonts w:cs="Arial"/>
          <w:sz w:val="22"/>
        </w:rPr>
        <w:fldChar w:fldCharType="begin"/>
      </w:r>
      <w:r>
        <w:rPr>
          <w:rFonts w:cs="Arial"/>
          <w:sz w:val="22"/>
        </w:rPr>
        <w:instrText xml:space="preserve">HYPERLINK "https://ro.wikipedia.org/wiki/Recens%C4%83m%C3%A2ntul_Popula%C8%9Biei_%C8%99i_Locuin%C8%9Belor_2021_(Rom%C3%A2nia)" \o "Recensământul Populației și Locuințelor 2021 (România)"</w:instrText>
      </w:r>
      <w:r>
        <w:rPr>
          <w:rFonts w:cs="Arial"/>
          <w:sz w:val="22"/>
        </w:rPr>
        <w:fldChar w:fldCharType="separate"/>
      </w:r>
      <w:r>
        <w:rPr>
          <w:rStyle w:val="24"/>
          <w:rFonts w:cs="Arial"/>
          <w:color w:val="auto"/>
          <w:sz w:val="22"/>
          <w:u w:val="none"/>
        </w:rPr>
        <w:t>recensământului efectuat în 2021</w:t>
      </w:r>
      <w:r>
        <w:rPr>
          <w:rFonts w:cs="Arial"/>
          <w:sz w:val="22"/>
        </w:rPr>
        <w:fldChar w:fldCharType="end"/>
      </w:r>
      <w:r>
        <w:rPr>
          <w:rFonts w:cs="Arial"/>
          <w:sz w:val="22"/>
        </w:rPr>
        <w:t>, populația Comunei Șimian se ridică la 10.021 de locuitori, în creștere față de </w:t>
      </w:r>
      <w:r>
        <w:rPr>
          <w:rFonts w:cs="Arial"/>
          <w:sz w:val="22"/>
        </w:rPr>
        <w:fldChar w:fldCharType="begin"/>
      </w:r>
      <w:r>
        <w:rPr>
          <w:rFonts w:cs="Arial"/>
          <w:sz w:val="22"/>
        </w:rPr>
        <w:instrText xml:space="preserve">HYPERLINK "https://ro.wikipedia.org/wiki/Recens%C4%83m%C3%A2ntul_popula%C8%9Biei_din_2011_(Rom%C3%A2nia)" \o "Recensământul populației din 2011 (România)"</w:instrText>
      </w:r>
      <w:r>
        <w:rPr>
          <w:rFonts w:cs="Arial"/>
          <w:sz w:val="22"/>
        </w:rPr>
        <w:fldChar w:fldCharType="separate"/>
      </w:r>
      <w:r>
        <w:rPr>
          <w:rStyle w:val="24"/>
          <w:rFonts w:cs="Arial"/>
          <w:color w:val="auto"/>
          <w:sz w:val="22"/>
          <w:u w:val="none"/>
        </w:rPr>
        <w:t>recensământul anterior din 2011</w:t>
      </w:r>
      <w:r>
        <w:rPr>
          <w:rFonts w:cs="Arial"/>
          <w:sz w:val="22"/>
        </w:rPr>
        <w:fldChar w:fldCharType="end"/>
      </w:r>
      <w:r>
        <w:rPr>
          <w:rFonts w:cs="Arial"/>
          <w:sz w:val="22"/>
        </w:rPr>
        <w:t>, când fuseseră înregistrați 9.650 de locuitori. Majoritatea locuitorilor sunt </w:t>
      </w:r>
      <w:r>
        <w:rPr>
          <w:rFonts w:cs="Arial"/>
          <w:sz w:val="22"/>
        </w:rPr>
        <w:fldChar w:fldCharType="begin"/>
      </w:r>
      <w:r>
        <w:rPr>
          <w:rFonts w:cs="Arial"/>
          <w:sz w:val="22"/>
        </w:rPr>
        <w:instrText xml:space="preserve">HYPERLINK "https://ro.wikipedia.org/wiki/Rom%C3%A2ni" \o "Români"</w:instrText>
      </w:r>
      <w:r>
        <w:rPr>
          <w:rFonts w:cs="Arial"/>
          <w:sz w:val="22"/>
        </w:rPr>
        <w:fldChar w:fldCharType="separate"/>
      </w:r>
      <w:r>
        <w:rPr>
          <w:rStyle w:val="24"/>
          <w:rFonts w:cs="Arial"/>
          <w:color w:val="auto"/>
          <w:sz w:val="22"/>
          <w:u w:val="none"/>
        </w:rPr>
        <w:t>români</w:t>
      </w:r>
      <w:r>
        <w:rPr>
          <w:rFonts w:cs="Arial"/>
          <w:sz w:val="22"/>
        </w:rPr>
        <w:fldChar w:fldCharType="end"/>
      </w:r>
      <w:r>
        <w:rPr>
          <w:rFonts w:cs="Arial"/>
          <w:sz w:val="22"/>
        </w:rPr>
        <w:t> (79,92%), cu o minoritate de </w:t>
      </w:r>
      <w:r>
        <w:rPr>
          <w:rFonts w:cs="Arial"/>
          <w:sz w:val="22"/>
        </w:rPr>
        <w:fldChar w:fldCharType="begin"/>
      </w:r>
      <w:r>
        <w:rPr>
          <w:rFonts w:cs="Arial"/>
          <w:sz w:val="22"/>
        </w:rPr>
        <w:instrText xml:space="preserve">HYPERLINK "https://ro.wikipedia.org/wiki/Romii_din_Rom%C3%A2nia" \o "Romii din România"</w:instrText>
      </w:r>
      <w:r>
        <w:rPr>
          <w:rFonts w:cs="Arial"/>
          <w:sz w:val="22"/>
        </w:rPr>
        <w:fldChar w:fldCharType="separate"/>
      </w:r>
      <w:r>
        <w:rPr>
          <w:rStyle w:val="24"/>
          <w:rFonts w:cs="Arial"/>
          <w:color w:val="auto"/>
          <w:sz w:val="22"/>
          <w:u w:val="none"/>
        </w:rPr>
        <w:t>romi</w:t>
      </w:r>
      <w:r>
        <w:rPr>
          <w:rFonts w:cs="Arial"/>
          <w:sz w:val="22"/>
        </w:rPr>
        <w:fldChar w:fldCharType="end"/>
      </w:r>
      <w:r>
        <w:rPr>
          <w:rFonts w:cs="Arial"/>
          <w:sz w:val="22"/>
        </w:rPr>
        <w:t> (8,75%), iar pentru 11,33% nu se cunoaște apartenența etnică. Din punct de vedere confesional, majoritatea locuitorilor sunt </w:t>
      </w:r>
      <w:r>
        <w:rPr>
          <w:rFonts w:cs="Arial"/>
          <w:sz w:val="22"/>
        </w:rPr>
        <w:fldChar w:fldCharType="begin"/>
      </w:r>
      <w:r>
        <w:rPr>
          <w:rFonts w:cs="Arial"/>
          <w:sz w:val="22"/>
        </w:rPr>
        <w:instrText xml:space="preserve">HYPERLINK "https://ro.wikipedia.org/wiki/Biserica_Ortodox%C4%83_Rom%C3%A2n%C4%83" \o "Biserica Ortodoxă Română"</w:instrText>
      </w:r>
      <w:r>
        <w:rPr>
          <w:rFonts w:cs="Arial"/>
          <w:sz w:val="22"/>
        </w:rPr>
        <w:fldChar w:fldCharType="separate"/>
      </w:r>
      <w:r>
        <w:rPr>
          <w:rStyle w:val="24"/>
          <w:rFonts w:cs="Arial"/>
          <w:color w:val="auto"/>
          <w:sz w:val="22"/>
          <w:u w:val="none"/>
        </w:rPr>
        <w:t>ortodocși</w:t>
      </w:r>
      <w:r>
        <w:rPr>
          <w:rFonts w:cs="Arial"/>
          <w:sz w:val="22"/>
        </w:rPr>
        <w:fldChar w:fldCharType="end"/>
      </w:r>
      <w:r>
        <w:rPr>
          <w:rFonts w:cs="Arial"/>
          <w:sz w:val="22"/>
        </w:rPr>
        <w:t> (86,93%), iar pentru 11,63% nu se cunoaște apartenența confesională.</w:t>
      </w:r>
      <w:r>
        <w:rPr>
          <w:rFonts w:cs="Arial"/>
          <w:sz w:val="22"/>
          <w:lang w:val="ro-RO"/>
        </w:rPr>
        <w:t xml:space="preserve"> </w:t>
      </w:r>
    </w:p>
    <w:p w14:paraId="128E94FF">
      <w:pPr>
        <w:ind w:firstLine="0"/>
        <w:rPr>
          <w:rFonts w:cs="Arial"/>
          <w:sz w:val="22"/>
          <w:lang w:val="ro-RO"/>
        </w:rPr>
      </w:pPr>
      <w:r>
        <w:rPr>
          <w:rFonts w:cs="Arial"/>
          <w:sz w:val="22"/>
          <w:lang w:val="ro-RO"/>
        </w:rPr>
        <w:t>Situația proiectelor de eficientizare energetică a clădirilor rezidențiale din Comuna Șimian. Există 4 proiecte de eficientizare energetică a clădirilor rezidențiale din Comuna Șimian:</w:t>
      </w:r>
    </w:p>
    <w:p w14:paraId="248AE9F6">
      <w:pPr>
        <w:pStyle w:val="37"/>
        <w:numPr>
          <w:ilvl w:val="0"/>
          <w:numId w:val="28"/>
        </w:numPr>
        <w:ind w:left="357" w:hanging="357"/>
        <w:rPr>
          <w:rFonts w:cs="Arial"/>
          <w:sz w:val="22"/>
          <w:lang w:val="ro-RO"/>
        </w:rPr>
      </w:pPr>
      <w:r>
        <w:rPr>
          <w:rFonts w:cs="Arial"/>
          <w:sz w:val="22"/>
          <w:lang w:val="ro-RO"/>
        </w:rPr>
        <w:t>„Reabilitare energetică a  clădirilor rezidențiale ,  zona 1, Comuna Șimian, Jud. Mehedinți”</w:t>
      </w:r>
    </w:p>
    <w:p w14:paraId="003E570A">
      <w:pPr>
        <w:pStyle w:val="37"/>
        <w:numPr>
          <w:ilvl w:val="0"/>
          <w:numId w:val="28"/>
        </w:numPr>
        <w:ind w:left="357" w:hanging="357"/>
        <w:rPr>
          <w:rFonts w:cs="Arial"/>
          <w:sz w:val="22"/>
          <w:lang w:val="ro-RO"/>
        </w:rPr>
      </w:pPr>
      <w:r>
        <w:rPr>
          <w:rFonts w:cs="Arial"/>
          <w:sz w:val="22"/>
          <w:lang w:val="ro-RO"/>
        </w:rPr>
        <w:t>”Reabilitare energetică a  clădirilor rezidențiale ,  zona 2, Comuna Șimian, Jud. Mehedinți”</w:t>
      </w:r>
    </w:p>
    <w:p w14:paraId="729DD7D9">
      <w:pPr>
        <w:pStyle w:val="37"/>
        <w:numPr>
          <w:ilvl w:val="0"/>
          <w:numId w:val="28"/>
        </w:numPr>
        <w:ind w:left="357" w:hanging="357"/>
        <w:rPr>
          <w:rFonts w:cs="Arial"/>
          <w:sz w:val="22"/>
          <w:lang w:val="ro-RO"/>
        </w:rPr>
      </w:pPr>
      <w:r>
        <w:rPr>
          <w:rFonts w:cs="Arial"/>
          <w:sz w:val="22"/>
          <w:lang w:val="ro-RO"/>
        </w:rPr>
        <w:t>”Reabilitare energetică a  clădirilor rezidențiale ,  zona 3, Comuna Șimian, Jud. Mehedinți”</w:t>
      </w:r>
    </w:p>
    <w:p w14:paraId="6A052AB1">
      <w:pPr>
        <w:pStyle w:val="37"/>
        <w:numPr>
          <w:ilvl w:val="0"/>
          <w:numId w:val="28"/>
        </w:numPr>
        <w:ind w:left="357" w:hanging="357"/>
        <w:rPr>
          <w:rFonts w:cs="Arial"/>
          <w:sz w:val="22"/>
          <w:lang w:val="ro-RO"/>
        </w:rPr>
      </w:pPr>
      <w:r>
        <w:rPr>
          <w:rFonts w:cs="Arial"/>
          <w:sz w:val="22"/>
          <w:lang w:val="ro-RO"/>
        </w:rPr>
        <w:t>”Reabilitare energetică a  clădirilor rezidențiale ,  zona 4, Comuna Șimian, jud. Mehedinți”</w:t>
      </w:r>
    </w:p>
    <w:p w14:paraId="0FCD521E">
      <w:pPr>
        <w:rPr>
          <w:rFonts w:cs="Arial"/>
          <w:sz w:val="22"/>
          <w:lang w:val="ro-RO"/>
        </w:rPr>
      </w:pPr>
    </w:p>
    <w:p w14:paraId="583FB04D">
      <w:pPr>
        <w:pStyle w:val="4"/>
        <w:numPr>
          <w:ilvl w:val="2"/>
          <w:numId w:val="8"/>
        </w:numPr>
        <w:rPr>
          <w:rFonts w:cs="Arial"/>
          <w:sz w:val="22"/>
          <w:szCs w:val="22"/>
          <w:lang w:val="ro-RO"/>
        </w:rPr>
      </w:pPr>
      <w:bookmarkStart w:id="49" w:name="_Toc201926327"/>
      <w:r>
        <w:rPr>
          <w:rFonts w:cs="Arial"/>
          <w:sz w:val="22"/>
          <w:szCs w:val="22"/>
          <w:lang w:val="ro-RO"/>
        </w:rPr>
        <w:t>Piața muncii</w:t>
      </w:r>
      <w:bookmarkEnd w:id="49"/>
    </w:p>
    <w:p w14:paraId="19FE6721">
      <w:pPr>
        <w:rPr>
          <w:rFonts w:cs="Arial"/>
          <w:sz w:val="22"/>
          <w:lang w:val="ro-RO"/>
        </w:rPr>
      </w:pPr>
      <w:r>
        <w:rPr>
          <w:rFonts w:cs="Arial"/>
          <w:sz w:val="22"/>
          <w:lang w:val="ro-RO"/>
        </w:rPr>
        <w:t xml:space="preserve">O mare parte dintre persoanele active din mediul rural sunt angajate în economia de subzistenţă şi în sectorul informal, fiind decuplate de la mecanismele economiei de piaţă. </w:t>
      </w:r>
    </w:p>
    <w:p w14:paraId="4FC71928">
      <w:pPr>
        <w:rPr>
          <w:rFonts w:cs="Arial"/>
          <w:sz w:val="22"/>
          <w:lang w:val="ro-RO"/>
        </w:rPr>
      </w:pPr>
      <w:r>
        <w:rPr>
          <w:rFonts w:cs="Arial"/>
          <w:sz w:val="22"/>
          <w:lang w:val="ro-RO"/>
        </w:rPr>
        <w:t xml:space="preserve">Situaţia precară a veniturilor din mediul rural argumentează necesitatea dezvoltării unei economii rurale diversificate. </w:t>
      </w:r>
    </w:p>
    <w:p w14:paraId="241CE7E7">
      <w:pPr>
        <w:rPr>
          <w:rFonts w:cs="Arial"/>
          <w:sz w:val="22"/>
          <w:lang w:val="ro-RO"/>
        </w:rPr>
      </w:pPr>
      <w:r>
        <w:rPr>
          <w:rFonts w:cs="Arial"/>
          <w:sz w:val="22"/>
          <w:lang w:val="ro-RO"/>
        </w:rPr>
        <w:t>Cei mai mulţi salariaţi sunt agricultori în cea mai mare parte, apoi constructori, lăcătuşi, sudori, strungari, şoferi, tractorişti, etc.</w:t>
      </w:r>
    </w:p>
    <w:p w14:paraId="0350517A">
      <w:pPr>
        <w:rPr>
          <w:rFonts w:cs="Arial"/>
          <w:sz w:val="22"/>
          <w:lang w:val="ro-RO"/>
        </w:rPr>
      </w:pPr>
      <w:r>
        <w:rPr>
          <w:rFonts w:cs="Arial"/>
          <w:sz w:val="22"/>
          <w:lang w:val="ro-RO"/>
        </w:rPr>
        <w:t>Conform evidențelor AJOFM Mehedinți, la sfârșitul lunii aprilie 2025</w:t>
      </w:r>
      <w:r>
        <w:rPr>
          <w:rFonts w:cs="Arial"/>
          <w:sz w:val="22"/>
        </w:rPr>
        <w:t xml:space="preserve"> </w:t>
      </w:r>
      <w:r>
        <w:rPr>
          <w:rFonts w:cs="Arial"/>
          <w:sz w:val="22"/>
          <w:lang w:val="ro-RO"/>
        </w:rPr>
        <w:t xml:space="preserve">în evidențele Agenției Județene pentru Ocuparea Forței de Muncă Mehedinți erau înregistrați 7.306 șomeri (din care 3.174 femei), rata șomajului fiind de 8,68%. </w:t>
      </w:r>
    </w:p>
    <w:p w14:paraId="0E96DD73">
      <w:pPr>
        <w:rPr>
          <w:rFonts w:cs="Arial"/>
          <w:sz w:val="22"/>
          <w:lang w:val="ro-RO"/>
        </w:rPr>
      </w:pPr>
      <w:r>
        <w:rPr>
          <w:rFonts w:cs="Arial"/>
          <w:sz w:val="22"/>
          <w:lang w:val="ro-RO"/>
        </w:rPr>
        <w:t xml:space="preserve"> Numărul şomerilor nu reprezintă o imagine reală, deoarece mulţi locuitori lucrează în străinatate şi de asemenea datorită metodologiei de calculare a numărului de şomeri în România acest procent nu include şi pe cei fără loc de muncă şi care nu mai beneficiază de ajutor de somaj. </w:t>
      </w:r>
    </w:p>
    <w:p w14:paraId="4CBA37A7">
      <w:pPr>
        <w:rPr>
          <w:rFonts w:cs="Arial"/>
          <w:sz w:val="22"/>
          <w:lang w:val="ro-RO"/>
        </w:rPr>
      </w:pPr>
      <w:r>
        <w:rPr>
          <w:rFonts w:cs="Arial"/>
          <w:sz w:val="22"/>
          <w:lang w:val="ro-RO"/>
        </w:rPr>
        <w:t>Singurele măsuri care pot influenţa în mod pozitiv evoluţia demografică a Comunei Șimian sunt cele legate de activităţile economice şi de echiparea tehnico-edilitară, sprijinul autorităților locale în construirea de locuințe prin alocarea de fonduri, măsuri ce depind numai de administraţia locală.</w:t>
      </w:r>
    </w:p>
    <w:p w14:paraId="02194BFA">
      <w:pPr>
        <w:pStyle w:val="14"/>
        <w:rPr>
          <w:sz w:val="22"/>
          <w:szCs w:val="22"/>
        </w:rPr>
      </w:pPr>
      <w:r>
        <w:rPr>
          <w:sz w:val="22"/>
          <w:szCs w:val="22"/>
        </w:rPr>
        <w:t xml:space="preserve">Grafic </w:t>
      </w:r>
      <w:r>
        <w:rPr>
          <w:sz w:val="22"/>
          <w:szCs w:val="22"/>
        </w:rPr>
        <w:fldChar w:fldCharType="begin"/>
      </w:r>
      <w:r>
        <w:rPr>
          <w:sz w:val="22"/>
          <w:szCs w:val="22"/>
        </w:rPr>
        <w:instrText xml:space="preserve"> SEQ Grafic \* ARABIC </w:instrText>
      </w:r>
      <w:r>
        <w:rPr>
          <w:sz w:val="22"/>
          <w:szCs w:val="22"/>
        </w:rPr>
        <w:fldChar w:fldCharType="separate"/>
      </w:r>
      <w:r>
        <w:rPr>
          <w:sz w:val="22"/>
          <w:szCs w:val="22"/>
        </w:rPr>
        <w:t>3</w:t>
      </w:r>
      <w:r>
        <w:rPr>
          <w:sz w:val="22"/>
          <w:szCs w:val="22"/>
        </w:rPr>
        <w:fldChar w:fldCharType="end"/>
      </w:r>
      <w:r>
        <w:rPr>
          <w:sz w:val="22"/>
          <w:szCs w:val="22"/>
        </w:rPr>
        <w:t>. Structura șomajului pe grupe de vârste 2025</w:t>
      </w:r>
    </w:p>
    <w:p w14:paraId="183B6F03">
      <w:pPr>
        <w:jc w:val="center"/>
        <w:rPr>
          <w:rFonts w:cs="Arial"/>
          <w:sz w:val="22"/>
          <w:highlight w:val="yellow"/>
          <w:lang w:val="ro-RO"/>
        </w:rPr>
      </w:pPr>
      <w:r>
        <w:rPr>
          <w:rFonts w:cs="Arial"/>
          <w:sz w:val="22"/>
        </w:rPr>
        <w:drawing>
          <wp:inline distT="0" distB="0" distL="0" distR="0">
            <wp:extent cx="4076700" cy="2571750"/>
            <wp:effectExtent l="0" t="0" r="0" b="0"/>
            <wp:docPr id="9" name="Object 230" descr="Structura şomerilor pe categorii de vârstă" title="Structura şomerilor pe categorii de vârstă"/>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30D945">
      <w:pPr>
        <w:jc w:val="center"/>
        <w:rPr>
          <w:rFonts w:cs="Arial"/>
          <w:i/>
          <w:iCs/>
          <w:sz w:val="22"/>
          <w:lang w:val="ro-RO"/>
        </w:rPr>
      </w:pPr>
      <w:r>
        <w:rPr>
          <w:rFonts w:cs="Arial"/>
          <w:i/>
          <w:iCs/>
          <w:sz w:val="22"/>
          <w:lang w:val="ro-RO"/>
        </w:rPr>
        <w:t xml:space="preserve">Sursa: </w:t>
      </w:r>
      <w:r>
        <w:fldChar w:fldCharType="begin"/>
      </w:r>
      <w:r>
        <w:instrText xml:space="preserve"> HYPERLINK "https://www.anofm.ro/mehedinti/ajofm-mh-comunicat-presa-30-04-2025-somaj/" </w:instrText>
      </w:r>
      <w:r>
        <w:fldChar w:fldCharType="separate"/>
      </w:r>
      <w:r>
        <w:rPr>
          <w:rStyle w:val="24"/>
          <w:rFonts w:cs="Arial"/>
          <w:i/>
          <w:iCs/>
          <w:sz w:val="22"/>
          <w:lang w:val="ro-RO"/>
        </w:rPr>
        <w:t>https://www.anofm.ro/mehedinti/ajofm-mh-comunicat-presa-30-04-2025-somaj/</w:t>
      </w:r>
      <w:r>
        <w:rPr>
          <w:rStyle w:val="24"/>
          <w:rFonts w:cs="Arial"/>
          <w:i/>
          <w:iCs/>
          <w:sz w:val="22"/>
          <w:lang w:val="ro-RO"/>
        </w:rPr>
        <w:fldChar w:fldCharType="end"/>
      </w:r>
      <w:r>
        <w:rPr>
          <w:rFonts w:cs="Arial"/>
          <w:i/>
          <w:iCs/>
          <w:sz w:val="22"/>
          <w:lang w:val="ro-RO"/>
        </w:rPr>
        <w:t xml:space="preserve"> - Comunicat de presă 30.04.2025 - șomaj</w:t>
      </w:r>
    </w:p>
    <w:p w14:paraId="2FCC46D5">
      <w:pPr>
        <w:rPr>
          <w:rFonts w:cs="Arial"/>
          <w:sz w:val="22"/>
          <w:lang w:val="ro-RO"/>
        </w:rPr>
      </w:pPr>
    </w:p>
    <w:p w14:paraId="758A19A7">
      <w:pPr>
        <w:pStyle w:val="14"/>
        <w:rPr>
          <w:sz w:val="22"/>
          <w:szCs w:val="22"/>
        </w:rPr>
      </w:pPr>
      <w:r>
        <w:rPr>
          <w:sz w:val="22"/>
          <w:szCs w:val="22"/>
        </w:rPr>
        <w:t xml:space="preserve">Tabel </w:t>
      </w:r>
      <w:r>
        <w:rPr>
          <w:sz w:val="22"/>
          <w:szCs w:val="22"/>
        </w:rPr>
        <w:fldChar w:fldCharType="begin"/>
      </w:r>
      <w:r>
        <w:rPr>
          <w:sz w:val="22"/>
          <w:szCs w:val="22"/>
        </w:rPr>
        <w:instrText xml:space="preserve"> SEQ Tabel \* ARABIC </w:instrText>
      </w:r>
      <w:r>
        <w:rPr>
          <w:sz w:val="22"/>
          <w:szCs w:val="22"/>
        </w:rPr>
        <w:fldChar w:fldCharType="separate"/>
      </w:r>
      <w:r>
        <w:rPr>
          <w:sz w:val="22"/>
          <w:szCs w:val="22"/>
        </w:rPr>
        <w:t>7</w:t>
      </w:r>
      <w:r>
        <w:rPr>
          <w:sz w:val="22"/>
          <w:szCs w:val="22"/>
        </w:rPr>
        <w:fldChar w:fldCharType="end"/>
      </w:r>
      <w:r>
        <w:rPr>
          <w:sz w:val="22"/>
          <w:szCs w:val="22"/>
        </w:rPr>
        <w:t>. Numărul șomerilor înregistrați in aprilie 2025</w:t>
      </w:r>
    </w:p>
    <w:tbl>
      <w:tblPr>
        <w:tblStyle w:val="79"/>
        <w:tblpPr w:leftFromText="180" w:rightFromText="180" w:vertAnchor="text" w:horzAnchor="margin" w:tblpXSpec="center" w:tblpY="66"/>
        <w:tblW w:w="3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854"/>
      </w:tblGrid>
      <w:tr w14:paraId="6BAB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48" w:type="dxa"/>
            <w:vAlign w:val="center"/>
          </w:tcPr>
          <w:p w14:paraId="679B3071">
            <w:pPr>
              <w:spacing w:after="120" w:line="276" w:lineRule="auto"/>
              <w:ind w:firstLine="0"/>
              <w:jc w:val="center"/>
              <w:rPr>
                <w:rFonts w:eastAsia="MS Mincho" w:cs="Arial"/>
                <w:sz w:val="22"/>
                <w:szCs w:val="22"/>
                <w:lang w:val="ro-RO"/>
              </w:rPr>
            </w:pPr>
            <w:r>
              <w:rPr>
                <w:rFonts w:eastAsia="MS Mincho" w:cs="Arial"/>
                <w:sz w:val="22"/>
                <w:szCs w:val="22"/>
              </w:rPr>
              <w:t>Grupa de v</w:t>
            </w:r>
            <w:r>
              <w:rPr>
                <w:rFonts w:eastAsia="MS Mincho" w:cs="Arial"/>
                <w:sz w:val="22"/>
                <w:szCs w:val="22"/>
                <w:lang w:val="ro-RO"/>
              </w:rPr>
              <w:t>ârstă</w:t>
            </w:r>
          </w:p>
        </w:tc>
        <w:tc>
          <w:tcPr>
            <w:tcW w:w="1854" w:type="dxa"/>
            <w:vAlign w:val="center"/>
          </w:tcPr>
          <w:p w14:paraId="479E5D88">
            <w:pPr>
              <w:spacing w:after="120" w:line="276" w:lineRule="auto"/>
              <w:ind w:firstLine="0"/>
              <w:jc w:val="center"/>
              <w:rPr>
                <w:rFonts w:eastAsia="MS Mincho" w:cs="Arial"/>
                <w:sz w:val="22"/>
                <w:szCs w:val="22"/>
                <w:lang w:val="fr-FR"/>
              </w:rPr>
            </w:pPr>
            <w:r>
              <w:rPr>
                <w:rFonts w:eastAsia="MS Mincho" w:cs="Arial"/>
                <w:sz w:val="22"/>
                <w:szCs w:val="22"/>
                <w:lang w:val="fr-FR"/>
              </w:rPr>
              <w:t>Stoc la finele lunii</w:t>
            </w:r>
          </w:p>
          <w:p w14:paraId="2176F543">
            <w:pPr>
              <w:spacing w:after="120" w:line="276" w:lineRule="auto"/>
              <w:ind w:firstLine="0"/>
              <w:jc w:val="center"/>
              <w:rPr>
                <w:rFonts w:eastAsia="MS Mincho" w:cs="Arial"/>
                <w:sz w:val="22"/>
                <w:szCs w:val="22"/>
                <w:lang w:val="fr-FR"/>
              </w:rPr>
            </w:pPr>
            <w:r>
              <w:rPr>
                <w:rFonts w:eastAsia="MS Mincho" w:cs="Arial"/>
                <w:sz w:val="22"/>
                <w:szCs w:val="22"/>
                <w:lang w:val="fr-FR"/>
              </w:rPr>
              <w:t>aprilie 2025</w:t>
            </w:r>
          </w:p>
        </w:tc>
      </w:tr>
      <w:tr w14:paraId="36EE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548" w:type="dxa"/>
            <w:vAlign w:val="center"/>
          </w:tcPr>
          <w:p w14:paraId="3967AB35">
            <w:pPr>
              <w:spacing w:after="120" w:line="276" w:lineRule="auto"/>
              <w:ind w:firstLine="0"/>
              <w:jc w:val="center"/>
              <w:rPr>
                <w:rFonts w:eastAsia="MS Mincho" w:cs="Arial"/>
                <w:sz w:val="22"/>
                <w:szCs w:val="22"/>
              </w:rPr>
            </w:pPr>
            <w:r>
              <w:rPr>
                <w:rFonts w:eastAsia="MS Mincho" w:cs="Arial"/>
                <w:sz w:val="22"/>
                <w:szCs w:val="22"/>
              </w:rPr>
              <w:t>Total</w:t>
            </w:r>
          </w:p>
        </w:tc>
        <w:tc>
          <w:tcPr>
            <w:tcW w:w="1854" w:type="dxa"/>
            <w:vAlign w:val="center"/>
          </w:tcPr>
          <w:p w14:paraId="591FE05A">
            <w:pPr>
              <w:spacing w:after="120" w:line="276" w:lineRule="auto"/>
              <w:ind w:firstLine="0"/>
              <w:jc w:val="center"/>
              <w:rPr>
                <w:rFonts w:eastAsia="MS Mincho" w:cs="Arial"/>
                <w:sz w:val="22"/>
                <w:szCs w:val="22"/>
              </w:rPr>
            </w:pPr>
            <w:r>
              <w:rPr>
                <w:rFonts w:eastAsia="MS Mincho" w:cs="Arial"/>
                <w:sz w:val="22"/>
                <w:szCs w:val="22"/>
              </w:rPr>
              <w:t>7.306</w:t>
            </w:r>
          </w:p>
        </w:tc>
      </w:tr>
      <w:tr w14:paraId="6BE4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48" w:type="dxa"/>
            <w:vAlign w:val="center"/>
          </w:tcPr>
          <w:p w14:paraId="7FDD4BEE">
            <w:pPr>
              <w:spacing w:after="120" w:line="276" w:lineRule="auto"/>
              <w:ind w:firstLine="0"/>
              <w:jc w:val="center"/>
              <w:rPr>
                <w:rFonts w:eastAsia="MS Mincho" w:cs="Arial"/>
                <w:sz w:val="22"/>
                <w:szCs w:val="22"/>
              </w:rPr>
            </w:pPr>
            <w:r>
              <w:rPr>
                <w:rFonts w:eastAsia="MS Mincho" w:cs="Arial"/>
                <w:sz w:val="22"/>
                <w:szCs w:val="22"/>
              </w:rPr>
              <w:t>&lt; 25 ani</w:t>
            </w:r>
          </w:p>
        </w:tc>
        <w:tc>
          <w:tcPr>
            <w:tcW w:w="1854" w:type="dxa"/>
            <w:vAlign w:val="center"/>
          </w:tcPr>
          <w:p w14:paraId="67B6D3B5">
            <w:pPr>
              <w:spacing w:after="120" w:line="276" w:lineRule="auto"/>
              <w:ind w:firstLine="0"/>
              <w:jc w:val="center"/>
              <w:rPr>
                <w:rFonts w:eastAsia="MS Mincho" w:cs="Arial"/>
                <w:sz w:val="22"/>
                <w:szCs w:val="22"/>
              </w:rPr>
            </w:pPr>
            <w:r>
              <w:rPr>
                <w:rFonts w:eastAsia="MS Mincho" w:cs="Arial"/>
                <w:sz w:val="22"/>
                <w:szCs w:val="22"/>
              </w:rPr>
              <w:t>352</w:t>
            </w:r>
          </w:p>
        </w:tc>
      </w:tr>
      <w:tr w14:paraId="4F74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548" w:type="dxa"/>
            <w:vAlign w:val="center"/>
          </w:tcPr>
          <w:p w14:paraId="40391321">
            <w:pPr>
              <w:spacing w:after="120" w:line="276" w:lineRule="auto"/>
              <w:ind w:firstLine="0"/>
              <w:jc w:val="center"/>
              <w:rPr>
                <w:rFonts w:eastAsia="MS Mincho" w:cs="Arial"/>
                <w:sz w:val="22"/>
                <w:szCs w:val="22"/>
              </w:rPr>
            </w:pPr>
            <w:r>
              <w:rPr>
                <w:rFonts w:eastAsia="MS Mincho" w:cs="Arial"/>
                <w:sz w:val="22"/>
                <w:szCs w:val="22"/>
              </w:rPr>
              <w:t>între 25-29</w:t>
            </w:r>
          </w:p>
        </w:tc>
        <w:tc>
          <w:tcPr>
            <w:tcW w:w="1854" w:type="dxa"/>
            <w:vAlign w:val="center"/>
          </w:tcPr>
          <w:p w14:paraId="689FA470">
            <w:pPr>
              <w:spacing w:after="120" w:line="276" w:lineRule="auto"/>
              <w:ind w:firstLine="0"/>
              <w:jc w:val="center"/>
              <w:rPr>
                <w:rFonts w:eastAsia="MS Mincho" w:cs="Arial"/>
                <w:sz w:val="22"/>
                <w:szCs w:val="22"/>
              </w:rPr>
            </w:pPr>
            <w:r>
              <w:rPr>
                <w:rFonts w:eastAsia="MS Mincho" w:cs="Arial"/>
                <w:sz w:val="22"/>
                <w:szCs w:val="22"/>
              </w:rPr>
              <w:t>325</w:t>
            </w:r>
          </w:p>
        </w:tc>
      </w:tr>
      <w:tr w14:paraId="7787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548" w:type="dxa"/>
            <w:vAlign w:val="center"/>
          </w:tcPr>
          <w:p w14:paraId="3D9B0E52">
            <w:pPr>
              <w:spacing w:after="120" w:line="276" w:lineRule="auto"/>
              <w:ind w:firstLine="0"/>
              <w:jc w:val="center"/>
              <w:rPr>
                <w:rFonts w:eastAsia="MS Mincho" w:cs="Arial"/>
                <w:sz w:val="22"/>
                <w:szCs w:val="22"/>
              </w:rPr>
            </w:pPr>
            <w:r>
              <w:rPr>
                <w:rFonts w:eastAsia="MS Mincho" w:cs="Arial"/>
                <w:sz w:val="22"/>
                <w:szCs w:val="22"/>
              </w:rPr>
              <w:t>între 30-39</w:t>
            </w:r>
          </w:p>
        </w:tc>
        <w:tc>
          <w:tcPr>
            <w:tcW w:w="1854" w:type="dxa"/>
            <w:vAlign w:val="center"/>
          </w:tcPr>
          <w:p w14:paraId="008132D0">
            <w:pPr>
              <w:spacing w:after="120" w:line="276" w:lineRule="auto"/>
              <w:ind w:firstLine="0"/>
              <w:jc w:val="center"/>
              <w:rPr>
                <w:rFonts w:eastAsia="MS Mincho" w:cs="Arial"/>
                <w:sz w:val="22"/>
                <w:szCs w:val="22"/>
              </w:rPr>
            </w:pPr>
            <w:r>
              <w:rPr>
                <w:rFonts w:eastAsia="MS Mincho" w:cs="Arial"/>
                <w:sz w:val="22"/>
                <w:szCs w:val="22"/>
              </w:rPr>
              <w:t>1.141</w:t>
            </w:r>
          </w:p>
        </w:tc>
      </w:tr>
      <w:tr w14:paraId="4B32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48" w:type="dxa"/>
            <w:vAlign w:val="center"/>
          </w:tcPr>
          <w:p w14:paraId="13EE053D">
            <w:pPr>
              <w:spacing w:after="120" w:line="276" w:lineRule="auto"/>
              <w:ind w:firstLine="0"/>
              <w:jc w:val="center"/>
              <w:rPr>
                <w:rFonts w:eastAsia="MS Mincho" w:cs="Arial"/>
                <w:sz w:val="22"/>
                <w:szCs w:val="22"/>
              </w:rPr>
            </w:pPr>
            <w:r>
              <w:rPr>
                <w:rFonts w:eastAsia="MS Mincho" w:cs="Arial"/>
                <w:sz w:val="22"/>
                <w:szCs w:val="22"/>
              </w:rPr>
              <w:t>între 40-49</w:t>
            </w:r>
          </w:p>
        </w:tc>
        <w:tc>
          <w:tcPr>
            <w:tcW w:w="1854" w:type="dxa"/>
            <w:vAlign w:val="center"/>
          </w:tcPr>
          <w:p w14:paraId="2D4BACD5">
            <w:pPr>
              <w:spacing w:after="120" w:line="276" w:lineRule="auto"/>
              <w:ind w:firstLine="0"/>
              <w:jc w:val="center"/>
              <w:rPr>
                <w:rFonts w:eastAsia="MS Mincho" w:cs="Arial"/>
                <w:sz w:val="22"/>
                <w:szCs w:val="22"/>
              </w:rPr>
            </w:pPr>
            <w:r>
              <w:rPr>
                <w:rFonts w:eastAsia="MS Mincho" w:cs="Arial"/>
                <w:sz w:val="22"/>
                <w:szCs w:val="22"/>
              </w:rPr>
              <w:t>1.971</w:t>
            </w:r>
          </w:p>
        </w:tc>
      </w:tr>
      <w:tr w14:paraId="2D01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548" w:type="dxa"/>
            <w:vAlign w:val="center"/>
          </w:tcPr>
          <w:p w14:paraId="61C075BB">
            <w:pPr>
              <w:spacing w:after="120" w:line="276" w:lineRule="auto"/>
              <w:ind w:firstLine="0"/>
              <w:jc w:val="center"/>
              <w:rPr>
                <w:rFonts w:eastAsia="MS Mincho" w:cs="Arial"/>
                <w:sz w:val="22"/>
                <w:szCs w:val="22"/>
              </w:rPr>
            </w:pPr>
            <w:r>
              <w:rPr>
                <w:rFonts w:eastAsia="MS Mincho" w:cs="Arial"/>
                <w:sz w:val="22"/>
                <w:szCs w:val="22"/>
              </w:rPr>
              <w:t>între 50-55</w:t>
            </w:r>
          </w:p>
        </w:tc>
        <w:tc>
          <w:tcPr>
            <w:tcW w:w="1854" w:type="dxa"/>
            <w:vAlign w:val="center"/>
          </w:tcPr>
          <w:p w14:paraId="2F716A24">
            <w:pPr>
              <w:spacing w:after="120" w:line="276" w:lineRule="auto"/>
              <w:ind w:firstLine="0"/>
              <w:jc w:val="center"/>
              <w:rPr>
                <w:rFonts w:eastAsia="MS Mincho" w:cs="Arial"/>
                <w:sz w:val="22"/>
                <w:szCs w:val="22"/>
              </w:rPr>
            </w:pPr>
            <w:r>
              <w:rPr>
                <w:rFonts w:eastAsia="MS Mincho" w:cs="Arial"/>
                <w:sz w:val="22"/>
                <w:szCs w:val="22"/>
              </w:rPr>
              <w:t>1.599</w:t>
            </w:r>
          </w:p>
        </w:tc>
      </w:tr>
      <w:tr w14:paraId="421D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48" w:type="dxa"/>
            <w:vAlign w:val="center"/>
          </w:tcPr>
          <w:p w14:paraId="34676AAB">
            <w:pPr>
              <w:spacing w:after="120" w:line="276" w:lineRule="auto"/>
              <w:ind w:firstLine="0"/>
              <w:jc w:val="center"/>
              <w:rPr>
                <w:rFonts w:eastAsia="MS Mincho" w:cs="Arial"/>
                <w:sz w:val="22"/>
                <w:szCs w:val="22"/>
              </w:rPr>
            </w:pPr>
            <w:r>
              <w:rPr>
                <w:rFonts w:eastAsia="MS Mincho" w:cs="Arial"/>
                <w:sz w:val="22"/>
                <w:szCs w:val="22"/>
              </w:rPr>
              <w:t>peste 55 ani</w:t>
            </w:r>
          </w:p>
        </w:tc>
        <w:tc>
          <w:tcPr>
            <w:tcW w:w="1854" w:type="dxa"/>
            <w:vAlign w:val="center"/>
          </w:tcPr>
          <w:p w14:paraId="7E73F8CF">
            <w:pPr>
              <w:spacing w:after="120" w:line="276" w:lineRule="auto"/>
              <w:ind w:firstLine="0"/>
              <w:jc w:val="center"/>
              <w:rPr>
                <w:rFonts w:eastAsia="MS Mincho" w:cs="Arial"/>
                <w:sz w:val="22"/>
                <w:szCs w:val="22"/>
              </w:rPr>
            </w:pPr>
            <w:r>
              <w:rPr>
                <w:rFonts w:eastAsia="MS Mincho" w:cs="Arial"/>
                <w:sz w:val="22"/>
                <w:szCs w:val="22"/>
              </w:rPr>
              <w:t>1.918</w:t>
            </w:r>
          </w:p>
        </w:tc>
      </w:tr>
    </w:tbl>
    <w:p w14:paraId="30939DEC">
      <w:pPr>
        <w:rPr>
          <w:rFonts w:cs="Arial"/>
          <w:sz w:val="22"/>
          <w:lang w:val="ro-RO"/>
        </w:rPr>
      </w:pPr>
    </w:p>
    <w:p w14:paraId="7EC5D8A6">
      <w:pPr>
        <w:rPr>
          <w:rFonts w:cs="Arial"/>
          <w:sz w:val="22"/>
          <w:lang w:val="ro-RO"/>
        </w:rPr>
      </w:pPr>
    </w:p>
    <w:p w14:paraId="5A61346B">
      <w:pPr>
        <w:rPr>
          <w:rFonts w:cs="Arial"/>
          <w:sz w:val="22"/>
          <w:lang w:val="ro-RO"/>
        </w:rPr>
      </w:pPr>
    </w:p>
    <w:p w14:paraId="1AEBC489">
      <w:pPr>
        <w:rPr>
          <w:rFonts w:cs="Arial"/>
          <w:sz w:val="22"/>
          <w:lang w:val="ro-RO"/>
        </w:rPr>
      </w:pPr>
    </w:p>
    <w:p w14:paraId="2BEA392E">
      <w:pPr>
        <w:rPr>
          <w:rFonts w:cs="Arial"/>
          <w:sz w:val="22"/>
          <w:lang w:val="ro-RO"/>
        </w:rPr>
      </w:pPr>
    </w:p>
    <w:p w14:paraId="042D18D6">
      <w:pPr>
        <w:jc w:val="center"/>
        <w:rPr>
          <w:rFonts w:cs="Arial"/>
          <w:i/>
          <w:iCs/>
          <w:sz w:val="22"/>
          <w:lang w:val="ro-RO"/>
        </w:rPr>
      </w:pPr>
      <w:r>
        <w:rPr>
          <w:rFonts w:cs="Arial"/>
          <w:i/>
          <w:iCs/>
          <w:sz w:val="22"/>
          <w:lang w:val="ro-RO"/>
        </w:rPr>
        <w:t>Sursa:</w:t>
      </w:r>
      <w:r>
        <w:fldChar w:fldCharType="begin"/>
      </w:r>
      <w:r>
        <w:instrText xml:space="preserve"> HYPERLINK "https://www.anofm.ro/mehedinti/ajofm-mh-comunicat-presa-30-04-2025-somaj/" </w:instrText>
      </w:r>
      <w:r>
        <w:fldChar w:fldCharType="separate"/>
      </w:r>
      <w:r>
        <w:rPr>
          <w:rStyle w:val="24"/>
          <w:rFonts w:cs="Arial"/>
          <w:i/>
          <w:iCs/>
          <w:sz w:val="22"/>
          <w:lang w:val="ro-RO"/>
        </w:rPr>
        <w:t>https://www.anofm.ro/mehedinti/ajofm-mh-comunicat-presa-30-04-2025-somaj/</w:t>
      </w:r>
      <w:r>
        <w:rPr>
          <w:rStyle w:val="24"/>
          <w:rFonts w:cs="Arial"/>
          <w:i/>
          <w:iCs/>
          <w:sz w:val="22"/>
          <w:lang w:val="ro-RO"/>
        </w:rPr>
        <w:fldChar w:fldCharType="end"/>
      </w:r>
      <w:r>
        <w:rPr>
          <w:rFonts w:cs="Arial"/>
          <w:i/>
          <w:iCs/>
          <w:sz w:val="22"/>
          <w:lang w:val="ro-RO"/>
        </w:rPr>
        <w:t xml:space="preserve"> - Comunicat  de presă 30.04.2025 - șomaj</w:t>
      </w:r>
    </w:p>
    <w:p w14:paraId="5735B566">
      <w:pPr>
        <w:rPr>
          <w:rFonts w:cs="Arial"/>
          <w:sz w:val="22"/>
          <w:lang w:val="ro-RO"/>
        </w:rPr>
      </w:pPr>
      <w:r>
        <w:rPr>
          <w:rFonts w:cs="Arial"/>
          <w:sz w:val="22"/>
          <w:lang w:val="ro-RO"/>
        </w:rPr>
        <w:t>Șomerii cu studii gimnaziale (3.161) au ponderea cea mai mare în totalul şomerilor înregistraţi în evidenţele AJOFM Mehedinți (43,26%), urmati de cei cu studii primare (2.074, 28,38%), studii liceale (1.081, 14,8%), studii profesionale (800, 10,95%), studii superioare (129, 1,77%) si studii postliceale (61, 0,84%).</w:t>
      </w:r>
    </w:p>
    <w:p w14:paraId="5670C0BA">
      <w:pPr>
        <w:rPr>
          <w:rFonts w:cs="Arial"/>
          <w:sz w:val="22"/>
          <w:lang w:val="ro-RO"/>
        </w:rPr>
      </w:pPr>
    </w:p>
    <w:p w14:paraId="0AD616B2">
      <w:pPr>
        <w:pStyle w:val="4"/>
        <w:numPr>
          <w:ilvl w:val="2"/>
          <w:numId w:val="8"/>
        </w:numPr>
        <w:rPr>
          <w:rFonts w:cs="Arial"/>
          <w:sz w:val="22"/>
          <w:szCs w:val="22"/>
          <w:lang w:val="ro-RO"/>
        </w:rPr>
      </w:pPr>
      <w:bookmarkStart w:id="50" w:name="_Toc201926328"/>
      <w:r>
        <w:rPr>
          <w:rFonts w:cs="Arial"/>
          <w:sz w:val="22"/>
          <w:szCs w:val="22"/>
          <w:lang w:val="ro-RO"/>
        </w:rPr>
        <w:t>Sănătate şi asistenţă socială</w:t>
      </w:r>
      <w:bookmarkEnd w:id="50"/>
    </w:p>
    <w:p w14:paraId="4083E2F2">
      <w:pPr>
        <w:rPr>
          <w:rFonts w:cs="Arial"/>
          <w:sz w:val="22"/>
          <w:lang w:val="ro-RO"/>
        </w:rPr>
      </w:pPr>
      <w:r>
        <w:rPr>
          <w:rFonts w:cs="Arial"/>
          <w:sz w:val="22"/>
          <w:lang w:val="ro-RO"/>
        </w:rPr>
        <w:t>Pe teritoriul comunei activa un dispensar uman în Satul Șimian, însă în prezent nu mai funcționează. Pe teritoriul localității există un  număr de 6 cabinete medicale ale unor medici privati, însă pentru investigații medicale și tratamente, populația este nevoită să se deplaseze în Municipiul Drobeta Turnu Severin.</w:t>
      </w:r>
    </w:p>
    <w:p w14:paraId="6A8F4B89">
      <w:pPr>
        <w:rPr>
          <w:rFonts w:cs="Arial"/>
          <w:sz w:val="22"/>
          <w:lang w:val="ro-RO"/>
        </w:rPr>
      </w:pPr>
      <w:r>
        <w:rPr>
          <w:rFonts w:cs="Arial"/>
          <w:sz w:val="22"/>
          <w:lang w:val="ro-RO"/>
        </w:rPr>
        <w:t xml:space="preserve">Lucrările pentru înființarea unui centru medical se află în curs de execuție în această perioadă. </w:t>
      </w:r>
    </w:p>
    <w:p w14:paraId="5AB0F342">
      <w:pPr>
        <w:rPr>
          <w:rFonts w:cs="Arial"/>
          <w:sz w:val="22"/>
          <w:lang w:val="ro-RO"/>
        </w:rPr>
      </w:pPr>
      <w:r>
        <w:rPr>
          <w:rFonts w:cs="Arial"/>
          <w:sz w:val="22"/>
          <w:lang w:val="ro-RO"/>
        </w:rPr>
        <w:t xml:space="preserve"> Un punct de prim ajutor există în cadrul Primăriei Șimian și a căminului cultural de la Cerneți.</w:t>
      </w:r>
    </w:p>
    <w:p w14:paraId="517122A3">
      <w:pPr>
        <w:rPr>
          <w:rFonts w:cs="Arial"/>
          <w:sz w:val="22"/>
          <w:lang w:val="ro-RO"/>
        </w:rPr>
      </w:pPr>
      <w:r>
        <w:rPr>
          <w:rFonts w:cs="Arial"/>
          <w:sz w:val="22"/>
          <w:lang w:val="ro-RO"/>
        </w:rPr>
        <w:t>În Satul Șimian activează câteva farmacii de uz uman.</w:t>
      </w:r>
    </w:p>
    <w:p w14:paraId="05AD34D5">
      <w:pPr>
        <w:rPr>
          <w:rFonts w:cs="Arial"/>
          <w:sz w:val="22"/>
          <w:lang w:val="ro-RO"/>
        </w:rPr>
      </w:pPr>
      <w:r>
        <w:rPr>
          <w:rFonts w:cs="Arial"/>
          <w:sz w:val="22"/>
          <w:lang w:val="ro-RO"/>
        </w:rPr>
        <w:t>Din punct de vedere al serviciilor sociale, în Șimian există un CENTRU DE SERVICII INTEGRATE, spațiu dedicat consilierii și sprijinirii persoanelor vulnerabile, cu accent pe victimele abuzului, dar și alte categorii aflate în dificultate, realizat prin fonduri europene.</w:t>
      </w:r>
    </w:p>
    <w:p w14:paraId="22C11373">
      <w:pPr>
        <w:rPr>
          <w:rFonts w:cs="Arial"/>
          <w:sz w:val="22"/>
          <w:lang w:val="ro-RO"/>
        </w:rPr>
      </w:pPr>
    </w:p>
    <w:p w14:paraId="3D17FC8D">
      <w:pPr>
        <w:pStyle w:val="3"/>
        <w:numPr>
          <w:ilvl w:val="1"/>
          <w:numId w:val="8"/>
        </w:numPr>
        <w:rPr>
          <w:rFonts w:cs="Arial"/>
          <w:color w:val="2E75B6" w:themeColor="accent5" w:themeShade="BF"/>
          <w:sz w:val="22"/>
          <w:szCs w:val="22"/>
          <w:lang w:val="ro-RO"/>
        </w:rPr>
      </w:pPr>
      <w:bookmarkStart w:id="51" w:name="_Toc201926329"/>
      <w:r>
        <w:rPr>
          <w:rFonts w:cs="Arial"/>
          <w:sz w:val="22"/>
          <w:szCs w:val="22"/>
          <w:lang w:val="ro-RO"/>
        </w:rPr>
        <w:t>ADMINISTRAŢIE PUBLICĂ LOCALĂ</w:t>
      </w:r>
      <w:bookmarkEnd w:id="51"/>
      <w:r>
        <w:rPr>
          <w:rFonts w:cs="Arial"/>
          <w:color w:val="2E75B6" w:themeColor="accent5" w:themeShade="BF"/>
          <w:sz w:val="22"/>
          <w:szCs w:val="22"/>
          <w:lang w:val="ro-RO"/>
        </w:rPr>
        <w:t xml:space="preserve"> </w:t>
      </w:r>
    </w:p>
    <w:p w14:paraId="0437057B">
      <w:pPr>
        <w:rPr>
          <w:rFonts w:cs="Arial"/>
          <w:sz w:val="22"/>
          <w:lang w:val="ro-RO"/>
        </w:rPr>
      </w:pPr>
      <w:r>
        <w:rPr>
          <w:rFonts w:cs="Arial"/>
          <w:sz w:val="22"/>
          <w:lang w:val="ro-RO"/>
        </w:rPr>
        <w:t>În comună există un sediu de primărie și o secție de poliție rurală -  în reședința de comună, Satul Șimian.</w:t>
      </w:r>
    </w:p>
    <w:p w14:paraId="7B39DB90">
      <w:pPr>
        <w:rPr>
          <w:rFonts w:cs="Arial"/>
          <w:bCs/>
          <w:sz w:val="22"/>
          <w:lang w:val="ro-RO"/>
        </w:rPr>
      </w:pPr>
      <w:r>
        <w:rPr>
          <w:rFonts w:cs="Arial"/>
          <w:bCs/>
          <w:sz w:val="22"/>
          <w:lang w:val="ro-RO"/>
        </w:rPr>
        <w:t>Sediul Primăriei este reabilitat energetic.</w:t>
      </w:r>
    </w:p>
    <w:p w14:paraId="259A7AF0">
      <w:pPr>
        <w:rPr>
          <w:rFonts w:cs="Arial"/>
          <w:sz w:val="22"/>
          <w:lang w:val="ro-RO"/>
        </w:rPr>
      </w:pPr>
      <w:r>
        <w:rPr>
          <w:rFonts w:cs="Arial"/>
          <w:sz w:val="22"/>
          <w:lang w:val="ro-RO"/>
        </w:rPr>
        <w:t xml:space="preserve">Administraţia publică locală a Comunei Șimian se organizează și funcţionează conform, (Legea administraţiei publice locale nr. 215/2001) principiului autonomiei locale, legalităţii, eligibilităţii şi descentralizării serviciilor publice. Autonomia locală este un drept exercitat de consiliile locale şi primari, de consiliile judeţene, alese prin vot direct. Persoanele care lucrează în această instituție, sunt independente faţă de cele centrale, rezolvând treburile publice în ordinea şi după principiile pe care le-a stabilit comunitatea. </w:t>
      </w:r>
    </w:p>
    <w:p w14:paraId="326B0881">
      <w:pPr>
        <w:rPr>
          <w:rFonts w:cs="Arial"/>
          <w:sz w:val="22"/>
          <w:lang w:val="ro-RO"/>
        </w:rPr>
      </w:pPr>
      <w:r>
        <w:rPr>
          <w:rFonts w:cs="Arial"/>
          <w:sz w:val="22"/>
          <w:lang w:val="ro-RO"/>
        </w:rPr>
        <w:t xml:space="preserve">Toti funcţionarii publici au urmat cursuri de perfectionare organizate de Centrele de Formare pentru Administraţia Publică Locală. Perfecţionarea profesională reprezintă un drept dar şi o obligaţie pentru fiecare funcţionar public, în vederea dezvoltării unui corp profesionist de funcţionari publici şi a competenţelor necesare pentru sprijinirea administraţiei publice. </w:t>
      </w:r>
    </w:p>
    <w:p w14:paraId="4F3202FF">
      <w:pPr>
        <w:rPr>
          <w:rFonts w:cs="Arial"/>
          <w:sz w:val="22"/>
          <w:lang w:val="ro-RO"/>
        </w:rPr>
      </w:pPr>
      <w:r>
        <w:rPr>
          <w:rFonts w:cs="Arial"/>
          <w:sz w:val="22"/>
          <w:lang w:val="ro-RO"/>
        </w:rPr>
        <w:t xml:space="preserve"> </w:t>
      </w:r>
      <w:r>
        <w:rPr>
          <w:rFonts w:cs="Arial"/>
          <w:color w:val="2E75B6" w:themeColor="accent5" w:themeShade="BF"/>
          <w:sz w:val="22"/>
          <w:lang w:val="ro-RO"/>
        </w:rPr>
        <w:t xml:space="preserve">Situația viitoare </w:t>
      </w:r>
    </w:p>
    <w:p w14:paraId="4CA9CB13">
      <w:pPr>
        <w:rPr>
          <w:rFonts w:cs="Arial"/>
          <w:sz w:val="22"/>
          <w:lang w:val="ro-RO"/>
        </w:rPr>
      </w:pPr>
      <w:r>
        <w:rPr>
          <w:rFonts w:cs="Arial"/>
          <w:sz w:val="22"/>
          <w:lang w:val="ro-RO"/>
        </w:rPr>
        <w:t xml:space="preserve">Atragerea de fonduri europene este considerată o soluţie absolut necesară pentru a asigura dezvoltarea comunei şi a rezolva probleme majore în comunitate. </w:t>
      </w:r>
    </w:p>
    <w:p w14:paraId="28E07AF6">
      <w:pPr>
        <w:rPr>
          <w:rFonts w:cs="Arial"/>
          <w:sz w:val="22"/>
          <w:lang w:val="ro-RO"/>
        </w:rPr>
      </w:pPr>
      <w:r>
        <w:rPr>
          <w:rFonts w:cs="Arial"/>
          <w:sz w:val="22"/>
          <w:lang w:val="ro-RO"/>
        </w:rPr>
        <w:t xml:space="preserve">Pentru primăriei acest lucru a reprezintă o prioritate, acestea depunând eforturi pentru a obţine astfel de fonduri. Dezvoltarea capacităţii administrative are scopul de a promova şi susţine crearea atât la nivel local a unei administraţii publice care să devină un important factor de competitivitate, dezvoltare, progres şi coeziune. </w:t>
      </w:r>
    </w:p>
    <w:p w14:paraId="46D9E7CA">
      <w:pPr>
        <w:rPr>
          <w:rFonts w:cs="Arial"/>
          <w:sz w:val="22"/>
          <w:lang w:val="ro-RO"/>
        </w:rPr>
      </w:pPr>
      <w:r>
        <w:rPr>
          <w:rFonts w:cs="Arial"/>
          <w:sz w:val="22"/>
          <w:lang w:val="ro-RO"/>
        </w:rPr>
        <w:t>Se dorește ca viaţa economică a Unității Administrative Teritoriale a Comunei Șimian să fie revigorată şi dezvoltată în toate domeniile sale: agricultură, zootehnie, dezvoltare rurală, mediu, economie, turism, educaţie, cultură, resurse umane- piaţa muncii, sănătate şi asistenţă socială, administraţie publică locală.</w:t>
      </w:r>
    </w:p>
    <w:p w14:paraId="1C6B79EA">
      <w:pPr>
        <w:rPr>
          <w:rFonts w:cs="Arial"/>
          <w:sz w:val="22"/>
          <w:lang w:val="ro-RO"/>
        </w:rPr>
      </w:pPr>
    </w:p>
    <w:p w14:paraId="31A44CD5">
      <w:pPr>
        <w:pStyle w:val="3"/>
        <w:numPr>
          <w:ilvl w:val="1"/>
          <w:numId w:val="8"/>
        </w:numPr>
        <w:rPr>
          <w:rFonts w:cs="Arial"/>
          <w:sz w:val="22"/>
          <w:szCs w:val="22"/>
          <w:lang w:val="ro-RO"/>
        </w:rPr>
      </w:pPr>
      <w:bookmarkStart w:id="52" w:name="_Toc201926330"/>
      <w:r>
        <w:rPr>
          <w:rFonts w:cs="Arial"/>
          <w:sz w:val="22"/>
          <w:szCs w:val="22"/>
          <w:lang w:val="ro-RO"/>
        </w:rPr>
        <w:t>ANALIZA SWOT</w:t>
      </w:r>
      <w:bookmarkEnd w:id="52"/>
      <w:bookmarkStart w:id="53" w:name="_Hlk66656306"/>
    </w:p>
    <w:p w14:paraId="1B445764">
      <w:pPr>
        <w:rPr>
          <w:rFonts w:cs="Arial"/>
          <w:sz w:val="22"/>
          <w:lang w:val="ro-RO"/>
        </w:rPr>
      </w:pPr>
      <w:r>
        <w:rPr>
          <w:rFonts w:cs="Arial"/>
          <w:sz w:val="22"/>
          <w:lang w:val="ro-RO"/>
        </w:rPr>
        <w:t>Ne  propunem  în  cele  ce  urmează  o  analiză  a  situaţiei  locale,  din perspectiva  potenţialului  investitor  în  economia  locală  a  Comunei  Șimian.</w:t>
      </w:r>
    </w:p>
    <w:p w14:paraId="27D94C61">
      <w:pPr>
        <w:rPr>
          <w:rFonts w:cs="Arial"/>
          <w:sz w:val="22"/>
          <w:lang w:val="ro-RO"/>
        </w:rPr>
      </w:pPr>
      <w:r>
        <w:rPr>
          <w:rFonts w:cs="Arial"/>
          <w:sz w:val="22"/>
          <w:lang w:val="ro-RO"/>
        </w:rPr>
        <w:t>Atragerea  de  investitori  în  diverse  domenii  va  genera  ocupare profesională, venituri  crescute  ale  populaţiei,  o  mai  eficientă  utilizare  a  resurselor locale,  apariţia  resurselor  financiare  necesare  demarării  unor  proiecte  de reabilitare/extindere  a  infrastructurii  fizice  şi  sociale,  de  protecţie  a mediului,  pentru  promovarea  zonei  etc</w:t>
      </w:r>
    </w:p>
    <w:p w14:paraId="5653EFCA">
      <w:pPr>
        <w:rPr>
          <w:rFonts w:cs="Arial"/>
          <w:sz w:val="22"/>
          <w:lang w:val="ro-RO"/>
        </w:rPr>
      </w:pPr>
      <w:r>
        <w:rPr>
          <w:rFonts w:cs="Arial"/>
          <w:sz w:val="22"/>
          <w:lang w:val="ro-RO"/>
        </w:rPr>
        <w:t>Analiza  îşi  propune  aşadar,  o  prezentare  a  punctelor  tari,  slabe, oportunităţilor  şi  ameninţărilor  care determină  spaţiul geografic şi socio – uman al comunei Șimian, defalcat pe capitolele de mai jos în vederea atragerii de investitori.</w:t>
      </w:r>
    </w:p>
    <w:p w14:paraId="6D230E51">
      <w:pPr>
        <w:rPr>
          <w:rFonts w:cs="Arial"/>
          <w:sz w:val="22"/>
          <w:lang w:val="ro-RO"/>
        </w:rPr>
      </w:pPr>
      <w:r>
        <w:rPr>
          <w:rFonts w:cs="Arial"/>
          <w:sz w:val="22"/>
          <w:lang w:val="ro-RO"/>
        </w:rPr>
        <w:t>În urma acestei analize vom propune o serie de măsuri şi paşi concreţi  care să ajute la revigorarea situaţiei economico – sociale, la ridicarea nivelului de bunăstare şi trai a locuitorilor comunei.</w:t>
      </w:r>
    </w:p>
    <w:p w14:paraId="2E164883">
      <w:pPr>
        <w:rPr>
          <w:rFonts w:cs="Arial"/>
          <w:sz w:val="22"/>
          <w:lang w:val="ro-RO"/>
        </w:rPr>
      </w:pPr>
      <w:r>
        <w:rPr>
          <w:rFonts w:cs="Arial"/>
          <w:sz w:val="22"/>
          <w:lang w:val="ro-RO"/>
        </w:rPr>
        <w:t>Sperăm că autorităţile locale împreună cu toţi cetăţenii comunei Șimian vor demara acest proces asiduu de dezvoltare a comunei prin toate forţele de care dispun şi cu înţelepciune vor reuşi ceea ce și-au propus – să facă din comuna lor o localitate strălucitoare şi atractivă pentru oricine.</w:t>
      </w:r>
    </w:p>
    <w:p w14:paraId="0CE131A4">
      <w:pPr>
        <w:ind w:firstLine="0"/>
        <w:rPr>
          <w:rFonts w:cs="Arial"/>
          <w:sz w:val="22"/>
          <w:lang w:val="ro-RO"/>
        </w:rPr>
      </w:pPr>
    </w:p>
    <w:bookmarkEnd w:id="53"/>
    <w:tbl>
      <w:tblPr>
        <w:tblStyle w:val="12"/>
        <w:tblW w:w="5000" w:type="pct"/>
        <w:tblInd w:w="0" w:type="dxa"/>
        <w:tblLayout w:type="autofit"/>
        <w:tblCellMar>
          <w:top w:w="0" w:type="dxa"/>
          <w:left w:w="0" w:type="dxa"/>
          <w:bottom w:w="0" w:type="dxa"/>
          <w:right w:w="0" w:type="dxa"/>
        </w:tblCellMar>
      </w:tblPr>
      <w:tblGrid>
        <w:gridCol w:w="4772"/>
        <w:gridCol w:w="4877"/>
      </w:tblGrid>
      <w:tr w14:paraId="655F1E6E">
        <w:tblPrEx>
          <w:tblCellMar>
            <w:top w:w="0" w:type="dxa"/>
            <w:left w:w="0" w:type="dxa"/>
            <w:bottom w:w="0" w:type="dxa"/>
            <w:right w:w="0" w:type="dxa"/>
          </w:tblCellMar>
        </w:tblPrEx>
        <w:trPr>
          <w:trHeight w:val="442" w:hRule="exac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7B577637">
            <w:pPr>
              <w:ind w:firstLine="0"/>
              <w:jc w:val="center"/>
              <w:rPr>
                <w:rFonts w:cs="Arial" w:eastAsiaTheme="minorEastAsia"/>
                <w:b/>
                <w:sz w:val="22"/>
                <w:lang w:val="ro-RO"/>
              </w:rPr>
            </w:pPr>
            <w:r>
              <w:rPr>
                <w:rFonts w:cs="Arial" w:eastAsiaTheme="minorEastAsia"/>
                <w:b/>
                <w:sz w:val="22"/>
                <w:lang w:val="ro-RO"/>
              </w:rPr>
              <w:t>Aşezare geografică şi cadrul natural</w:t>
            </w:r>
            <w:bookmarkStart w:id="54" w:name="_Toc2327384"/>
            <w:bookmarkEnd w:id="54"/>
          </w:p>
        </w:tc>
      </w:tr>
      <w:tr w14:paraId="5F02507D">
        <w:tblPrEx>
          <w:tblCellMar>
            <w:top w:w="0" w:type="dxa"/>
            <w:left w:w="0" w:type="dxa"/>
            <w:bottom w:w="0" w:type="dxa"/>
            <w:right w:w="0" w:type="dxa"/>
          </w:tblCellMar>
        </w:tblPrEx>
        <w:trPr>
          <w:trHeight w:val="254" w:hRule="atLeast"/>
        </w:trPr>
        <w:tc>
          <w:tcPr>
            <w:tcW w:w="2473" w:type="pct"/>
            <w:tcBorders>
              <w:top w:val="single" w:color="000000" w:sz="4" w:space="0"/>
              <w:left w:val="single" w:color="000000" w:sz="4" w:space="0"/>
              <w:bottom w:val="single" w:color="000000" w:sz="4" w:space="0"/>
              <w:right w:val="single" w:color="000000" w:sz="4" w:space="0"/>
            </w:tcBorders>
            <w:vAlign w:val="center"/>
          </w:tcPr>
          <w:p w14:paraId="0D1F44F2">
            <w:pPr>
              <w:ind w:firstLine="0"/>
              <w:jc w:val="center"/>
              <w:rPr>
                <w:rFonts w:eastAsia="Verdana" w:cs="Arial"/>
                <w:b/>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03A4A95F">
            <w:pPr>
              <w:ind w:firstLine="0"/>
              <w:jc w:val="center"/>
              <w:rPr>
                <w:rFonts w:eastAsia="Verdana" w:cs="Arial"/>
                <w:b/>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440FC703">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7D99149C">
            <w:pPr>
              <w:pStyle w:val="37"/>
              <w:numPr>
                <w:ilvl w:val="0"/>
                <w:numId w:val="29"/>
              </w:numPr>
              <w:jc w:val="left"/>
              <w:rPr>
                <w:rFonts w:cs="Arial" w:eastAsiaTheme="minorEastAsia"/>
                <w:bCs/>
                <w:sz w:val="22"/>
                <w:lang w:val="ro-RO"/>
              </w:rPr>
            </w:pPr>
            <w:r>
              <w:rPr>
                <w:rFonts w:cs="Arial" w:eastAsiaTheme="minorEastAsia"/>
                <w:bCs/>
                <w:sz w:val="22"/>
                <w:lang w:val="ro-RO"/>
              </w:rPr>
              <w:t>Poziție strategică: Localizare la intersecția unor axe rutiere majore (DN6, DN56A) și pe malul Dunării, facilitând accesul regional și național.</w:t>
            </w:r>
          </w:p>
          <w:p w14:paraId="74B891FD">
            <w:pPr>
              <w:pStyle w:val="37"/>
              <w:numPr>
                <w:ilvl w:val="0"/>
                <w:numId w:val="29"/>
              </w:numPr>
              <w:jc w:val="left"/>
              <w:rPr>
                <w:rFonts w:cs="Arial" w:eastAsiaTheme="minorEastAsia"/>
                <w:bCs/>
                <w:sz w:val="22"/>
                <w:lang w:val="ro-RO"/>
              </w:rPr>
            </w:pPr>
            <w:r>
              <w:rPr>
                <w:rFonts w:cs="Arial" w:eastAsiaTheme="minorEastAsia"/>
                <w:bCs/>
                <w:sz w:val="22"/>
                <w:lang w:val="ro-RO"/>
              </w:rPr>
              <w:t>Acces la Dunăre: Prezența fluviului Dunărea oferă resurse hidrice, potențial turistic, pescuit și posibilități de transport fluvial.</w:t>
            </w:r>
          </w:p>
          <w:p w14:paraId="67C597B6">
            <w:pPr>
              <w:pStyle w:val="37"/>
              <w:numPr>
                <w:ilvl w:val="0"/>
                <w:numId w:val="29"/>
              </w:numPr>
              <w:jc w:val="left"/>
              <w:rPr>
                <w:rFonts w:cs="Arial" w:eastAsiaTheme="minorEastAsia"/>
                <w:bCs/>
                <w:sz w:val="22"/>
                <w:lang w:val="ro-RO"/>
              </w:rPr>
            </w:pPr>
            <w:r>
              <w:rPr>
                <w:rFonts w:cs="Arial" w:eastAsiaTheme="minorEastAsia"/>
                <w:bCs/>
                <w:sz w:val="22"/>
                <w:lang w:val="ro-RO"/>
              </w:rPr>
              <w:t>Resurse naturale: Soluri fertile, păduri extinse (Ocolul Silvic Șimian), zone protejate (ROSCI0420), insule (Insula Șimian), care susțin agricultura, silvicultura și turismul.</w:t>
            </w:r>
          </w:p>
          <w:p w14:paraId="00332ABC">
            <w:pPr>
              <w:pStyle w:val="37"/>
              <w:numPr>
                <w:ilvl w:val="0"/>
                <w:numId w:val="30"/>
              </w:numPr>
              <w:jc w:val="left"/>
              <w:rPr>
                <w:rFonts w:cs="Arial" w:eastAsiaTheme="minorEastAsia"/>
                <w:b/>
                <w:sz w:val="22"/>
                <w:lang w:val="ro-RO"/>
              </w:rPr>
            </w:pPr>
            <w:r>
              <w:rPr>
                <w:rFonts w:cs="Arial" w:eastAsiaTheme="minorEastAsia"/>
                <w:bCs/>
                <w:sz w:val="22"/>
                <w:lang w:val="ro-RO"/>
              </w:rPr>
              <w:t>Climat favorabil: Temperaturi moderate, precipitații echilibrate, veri calde, toamnă prelungită, condiții propice pentru agricultură și turism.</w:t>
            </w:r>
          </w:p>
        </w:tc>
        <w:tc>
          <w:tcPr>
            <w:tcW w:w="2527" w:type="pct"/>
            <w:tcBorders>
              <w:top w:val="single" w:color="000000" w:sz="4" w:space="0"/>
              <w:left w:val="single" w:color="000000" w:sz="4" w:space="0"/>
              <w:bottom w:val="single" w:color="000000" w:sz="4" w:space="0"/>
              <w:right w:val="single" w:color="000000" w:sz="4" w:space="0"/>
            </w:tcBorders>
          </w:tcPr>
          <w:p w14:paraId="6C94F949">
            <w:pPr>
              <w:pStyle w:val="37"/>
              <w:numPr>
                <w:ilvl w:val="0"/>
                <w:numId w:val="30"/>
              </w:numPr>
              <w:jc w:val="left"/>
              <w:rPr>
                <w:rFonts w:cs="Arial" w:eastAsiaTheme="minorEastAsia"/>
                <w:bCs/>
                <w:sz w:val="22"/>
                <w:lang w:val="ro-RO"/>
              </w:rPr>
            </w:pPr>
            <w:r>
              <w:rPr>
                <w:rFonts w:cs="Arial" w:eastAsiaTheme="minorEastAsia"/>
                <w:bCs/>
                <w:sz w:val="22"/>
                <w:lang w:val="ro-RO"/>
              </w:rPr>
              <w:t>Riscuri naturale: Expunere la inundații (Dunărea), alunecări de teren, eroziune și fenomene meteorologice extreme.</w:t>
            </w:r>
          </w:p>
          <w:p w14:paraId="2A2C5829">
            <w:pPr>
              <w:pStyle w:val="37"/>
              <w:numPr>
                <w:ilvl w:val="0"/>
                <w:numId w:val="30"/>
              </w:numPr>
              <w:jc w:val="left"/>
              <w:rPr>
                <w:rFonts w:cs="Arial" w:eastAsiaTheme="minorEastAsia"/>
                <w:bCs/>
                <w:sz w:val="22"/>
                <w:lang w:val="ro-RO"/>
              </w:rPr>
            </w:pPr>
            <w:r>
              <w:rPr>
                <w:rFonts w:cs="Arial" w:eastAsiaTheme="minorEastAsia"/>
                <w:bCs/>
                <w:sz w:val="22"/>
                <w:lang w:val="ro-RO"/>
              </w:rPr>
              <w:t>Lipsa facilităților portuare: Acces limitat la transportul naval și turismul fluvial, deși există potențial.</w:t>
            </w:r>
          </w:p>
          <w:p w14:paraId="67CD24F5">
            <w:pPr>
              <w:pStyle w:val="37"/>
              <w:numPr>
                <w:ilvl w:val="0"/>
                <w:numId w:val="30"/>
              </w:numPr>
              <w:jc w:val="left"/>
              <w:rPr>
                <w:rFonts w:cs="Arial" w:eastAsiaTheme="minorEastAsia"/>
                <w:b/>
                <w:sz w:val="22"/>
                <w:lang w:val="ro-RO"/>
              </w:rPr>
            </w:pPr>
            <w:r>
              <w:rPr>
                <w:rFonts w:cs="Arial" w:eastAsiaTheme="minorEastAsia"/>
                <w:bCs/>
                <w:sz w:val="22"/>
                <w:lang w:val="ro-RO"/>
              </w:rPr>
              <w:t>Zone izolate: Unele sate componente sunt greu accesibile în condiții meteo nefavorabile, datorită stării precare a drumurilor locale.</w:t>
            </w:r>
          </w:p>
        </w:tc>
      </w:tr>
      <w:tr w14:paraId="413B1048">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2C52892B">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7565109B">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3C405A1A">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5050ABF7">
            <w:pPr>
              <w:pStyle w:val="37"/>
              <w:numPr>
                <w:ilvl w:val="0"/>
                <w:numId w:val="31"/>
              </w:numPr>
              <w:jc w:val="left"/>
              <w:rPr>
                <w:rFonts w:cs="Arial" w:eastAsiaTheme="minorEastAsia"/>
                <w:sz w:val="22"/>
                <w:lang w:val="ro-RO"/>
              </w:rPr>
            </w:pPr>
            <w:r>
              <w:rPr>
                <w:rFonts w:cs="Arial" w:eastAsiaTheme="minorEastAsia"/>
                <w:sz w:val="22"/>
                <w:lang w:val="ro-RO"/>
              </w:rPr>
              <w:t>Valorificarea Dunării: Amenajarea unui port local, dezvoltarea turismului fluvial și ecologic, promovarea Insulei Șimian.</w:t>
            </w:r>
          </w:p>
          <w:p w14:paraId="41E208B5">
            <w:pPr>
              <w:numPr>
                <w:ilvl w:val="0"/>
                <w:numId w:val="31"/>
              </w:numPr>
              <w:jc w:val="left"/>
              <w:rPr>
                <w:rFonts w:cs="Arial" w:eastAsiaTheme="minorEastAsia"/>
                <w:sz w:val="22"/>
                <w:lang w:val="ro-RO"/>
              </w:rPr>
            </w:pPr>
            <w:r>
              <w:rPr>
                <w:rFonts w:cs="Arial" w:eastAsiaTheme="minorEastAsia"/>
                <w:sz w:val="22"/>
                <w:lang w:val="ro-RO"/>
              </w:rPr>
              <w:t>Protecția mediului: Implementarea de proiecte de conservare a biodiversității, regenerarea malului Dunării, combaterea eroziunii.</w:t>
            </w:r>
          </w:p>
          <w:p w14:paraId="7B03600E">
            <w:pPr>
              <w:numPr>
                <w:ilvl w:val="0"/>
                <w:numId w:val="31"/>
              </w:numPr>
              <w:jc w:val="left"/>
              <w:rPr>
                <w:rFonts w:cs="Arial" w:eastAsiaTheme="minorEastAsia"/>
                <w:sz w:val="22"/>
                <w:lang w:val="ro-RO"/>
              </w:rPr>
            </w:pPr>
            <w:r>
              <w:rPr>
                <w:rFonts w:cs="Arial" w:eastAsiaTheme="minorEastAsia"/>
                <w:sz w:val="22"/>
                <w:lang w:val="ro-RO"/>
              </w:rPr>
              <w:t>Agricultură și silvicultură durabilă: Exploatarea resurselor naturale în mod responsabil, promovarea agriculturii ecologice și a turismului rural.</w:t>
            </w:r>
          </w:p>
        </w:tc>
        <w:tc>
          <w:tcPr>
            <w:tcW w:w="2527" w:type="pct"/>
            <w:tcBorders>
              <w:top w:val="single" w:color="000000" w:sz="4" w:space="0"/>
              <w:left w:val="single" w:color="000000" w:sz="4" w:space="0"/>
              <w:bottom w:val="single" w:color="000000" w:sz="4" w:space="0"/>
              <w:right w:val="single" w:color="000000" w:sz="4" w:space="0"/>
            </w:tcBorders>
          </w:tcPr>
          <w:p w14:paraId="1D3943BB">
            <w:pPr>
              <w:numPr>
                <w:ilvl w:val="0"/>
                <w:numId w:val="31"/>
              </w:numPr>
              <w:rPr>
                <w:rFonts w:cs="Arial" w:eastAsiaTheme="minorEastAsia"/>
                <w:bCs/>
                <w:sz w:val="22"/>
                <w:lang w:val="ro-RO"/>
              </w:rPr>
            </w:pPr>
            <w:r>
              <w:rPr>
                <w:rFonts w:cs="Arial" w:eastAsiaTheme="minorEastAsia"/>
                <w:bCs/>
                <w:sz w:val="22"/>
                <w:lang w:val="ro-RO"/>
              </w:rPr>
              <w:t>Schimbări climatice: Creșterea riscului de inundații, secetă și evenimente meteorologice extreme.</w:t>
            </w:r>
          </w:p>
          <w:p w14:paraId="38E8132F">
            <w:pPr>
              <w:numPr>
                <w:ilvl w:val="0"/>
                <w:numId w:val="31"/>
              </w:numPr>
              <w:rPr>
                <w:rFonts w:cs="Arial" w:eastAsiaTheme="minorEastAsia"/>
                <w:bCs/>
                <w:sz w:val="22"/>
                <w:lang w:val="ro-RO"/>
              </w:rPr>
            </w:pPr>
            <w:r>
              <w:rPr>
                <w:rFonts w:cs="Arial" w:eastAsiaTheme="minorEastAsia"/>
                <w:bCs/>
                <w:sz w:val="22"/>
                <w:lang w:val="ro-RO"/>
              </w:rPr>
              <w:t>Poluare accidentală: Incidente pe Dunăre (ulei, deșeuri) care afectează mediul și activitățile economice.</w:t>
            </w:r>
          </w:p>
          <w:p w14:paraId="626E4B01">
            <w:pPr>
              <w:numPr>
                <w:ilvl w:val="0"/>
                <w:numId w:val="31"/>
              </w:numPr>
              <w:rPr>
                <w:rFonts w:cs="Arial" w:eastAsiaTheme="minorEastAsia"/>
                <w:bCs/>
                <w:sz w:val="22"/>
                <w:lang w:val="ro-RO"/>
              </w:rPr>
            </w:pPr>
            <w:r>
              <w:rPr>
                <w:rFonts w:cs="Arial" w:eastAsiaTheme="minorEastAsia"/>
                <w:bCs/>
                <w:sz w:val="22"/>
                <w:lang w:val="ro-RO"/>
              </w:rPr>
              <w:t>Degradarea solului: Eroziune, exploatare inadecvată a resurselor naturale.</w:t>
            </w:r>
          </w:p>
        </w:tc>
      </w:tr>
    </w:tbl>
    <w:p w14:paraId="705F3F45">
      <w:pPr>
        <w:ind w:firstLine="0"/>
        <w:rPr>
          <w:rFonts w:cs="Arial"/>
          <w:sz w:val="22"/>
          <w:lang w:val="ro-RO"/>
        </w:rPr>
        <w:sectPr>
          <w:footerReference r:id="rId5" w:type="default"/>
          <w:pgSz w:w="11907" w:h="16839"/>
          <w:pgMar w:top="1418" w:right="1134" w:bottom="1418" w:left="1134" w:header="709" w:footer="284" w:gutter="0"/>
          <w:cols w:space="708" w:num="1"/>
          <w:docGrid w:linePitch="360" w:charSpace="0"/>
        </w:sectPr>
      </w:pPr>
    </w:p>
    <w:tbl>
      <w:tblPr>
        <w:tblStyle w:val="12"/>
        <w:tblW w:w="5000" w:type="pct"/>
        <w:tblInd w:w="0" w:type="dxa"/>
        <w:tblLayout w:type="autofit"/>
        <w:tblCellMar>
          <w:top w:w="0" w:type="dxa"/>
          <w:left w:w="0" w:type="dxa"/>
          <w:bottom w:w="0" w:type="dxa"/>
          <w:right w:w="0" w:type="dxa"/>
        </w:tblCellMar>
      </w:tblPr>
      <w:tblGrid>
        <w:gridCol w:w="4772"/>
        <w:gridCol w:w="4877"/>
      </w:tblGrid>
      <w:tr w14:paraId="5CC7711A">
        <w:tblPrEx>
          <w:tblCellMar>
            <w:top w:w="0" w:type="dxa"/>
            <w:left w:w="0" w:type="dxa"/>
            <w:bottom w:w="0" w:type="dxa"/>
            <w:right w:w="0" w:type="dxa"/>
          </w:tblCellMar>
        </w:tblPrEx>
        <w:trPr>
          <w:trHeight w:val="442" w:hRule="exact"/>
          <w:tblHead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309EF270">
            <w:pPr>
              <w:ind w:firstLine="0"/>
              <w:jc w:val="center"/>
              <w:rPr>
                <w:rFonts w:cs="Arial" w:eastAsiaTheme="minorEastAsia"/>
                <w:b/>
                <w:sz w:val="22"/>
                <w:lang w:val="ro-RO"/>
              </w:rPr>
            </w:pPr>
            <w:bookmarkStart w:id="55" w:name="_Hlk66656451"/>
            <w:r>
              <w:rPr>
                <w:rFonts w:cs="Arial" w:eastAsiaTheme="minorEastAsia"/>
                <w:b/>
                <w:sz w:val="22"/>
                <w:lang w:val="ro-RO"/>
              </w:rPr>
              <w:t>Infrastructură și transport</w:t>
            </w:r>
          </w:p>
        </w:tc>
      </w:tr>
      <w:tr w14:paraId="7C06C805">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vAlign w:val="center"/>
          </w:tcPr>
          <w:p w14:paraId="6A4AD80C">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544F29E3">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5A75271C">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0921A3EA">
            <w:pPr>
              <w:numPr>
                <w:ilvl w:val="0"/>
                <w:numId w:val="32"/>
              </w:numPr>
              <w:rPr>
                <w:rFonts w:cs="Arial" w:eastAsiaTheme="minorEastAsia"/>
                <w:sz w:val="22"/>
                <w:lang w:val="ro-RO"/>
              </w:rPr>
            </w:pPr>
            <w:r>
              <w:rPr>
                <w:rFonts w:cs="Arial" w:eastAsiaTheme="minorEastAsia"/>
                <w:sz w:val="22"/>
                <w:lang w:val="ro-RO"/>
              </w:rPr>
              <w:t>Retea rutieră modernizată: DN6, DN56A și DC21 modernizate, cu potențial de extindere.</w:t>
            </w:r>
          </w:p>
          <w:p w14:paraId="6A9A0AEB">
            <w:pPr>
              <w:numPr>
                <w:ilvl w:val="0"/>
                <w:numId w:val="32"/>
              </w:numPr>
              <w:rPr>
                <w:rFonts w:cs="Arial" w:eastAsiaTheme="minorEastAsia"/>
                <w:sz w:val="22"/>
                <w:lang w:val="ro-RO"/>
              </w:rPr>
            </w:pPr>
            <w:r>
              <w:rPr>
                <w:rFonts w:cs="Arial" w:eastAsiaTheme="minorEastAsia"/>
                <w:sz w:val="22"/>
                <w:lang w:val="ro-RO"/>
              </w:rPr>
              <w:t>Gara de marfă: Acces la transportul feroviar, racorduri la depozite de lignit și industrie.</w:t>
            </w:r>
          </w:p>
          <w:p w14:paraId="37707BD6">
            <w:pPr>
              <w:numPr>
                <w:ilvl w:val="0"/>
                <w:numId w:val="32"/>
              </w:numPr>
              <w:rPr>
                <w:rFonts w:cs="Arial" w:eastAsiaTheme="minorEastAsia"/>
                <w:sz w:val="22"/>
                <w:lang w:val="ro-RO"/>
              </w:rPr>
            </w:pPr>
            <w:r>
              <w:rPr>
                <w:rFonts w:cs="Arial" w:eastAsiaTheme="minorEastAsia"/>
                <w:sz w:val="22"/>
                <w:lang w:val="ro-RO"/>
              </w:rPr>
              <w:t>Extinderea rețelelor de utilități: Gaz, apă, canalizare, internet de mare viteză.</w:t>
            </w:r>
          </w:p>
        </w:tc>
        <w:tc>
          <w:tcPr>
            <w:tcW w:w="2527" w:type="pct"/>
            <w:tcBorders>
              <w:top w:val="single" w:color="000000" w:sz="4" w:space="0"/>
              <w:left w:val="single" w:color="000000" w:sz="4" w:space="0"/>
              <w:bottom w:val="single" w:color="000000" w:sz="4" w:space="0"/>
              <w:right w:val="single" w:color="000000" w:sz="4" w:space="0"/>
            </w:tcBorders>
          </w:tcPr>
          <w:p w14:paraId="72A0A490">
            <w:pPr>
              <w:numPr>
                <w:ilvl w:val="0"/>
                <w:numId w:val="33"/>
              </w:numPr>
              <w:ind w:right="136"/>
              <w:contextualSpacing/>
              <w:rPr>
                <w:rFonts w:cs="Arial" w:eastAsiaTheme="minorEastAsia"/>
                <w:sz w:val="22"/>
                <w:lang w:val="ro-RO"/>
              </w:rPr>
            </w:pPr>
            <w:r>
              <w:rPr>
                <w:rFonts w:cs="Arial" w:eastAsiaTheme="minorEastAsia"/>
                <w:sz w:val="22"/>
                <w:lang w:val="ro-RO"/>
              </w:rPr>
              <w:t>Străzi nemodernizate: În satele componente, drumuri secundare și de exploatare agricolă greu practicabile.</w:t>
            </w:r>
          </w:p>
          <w:p w14:paraId="17D61B08">
            <w:pPr>
              <w:numPr>
                <w:ilvl w:val="0"/>
                <w:numId w:val="33"/>
              </w:numPr>
              <w:ind w:right="136"/>
              <w:contextualSpacing/>
              <w:rPr>
                <w:rFonts w:cs="Arial" w:eastAsiaTheme="minorEastAsia"/>
                <w:sz w:val="22"/>
                <w:lang w:val="ro-RO"/>
              </w:rPr>
            </w:pPr>
            <w:r>
              <w:rPr>
                <w:rFonts w:cs="Arial" w:eastAsiaTheme="minorEastAsia"/>
                <w:sz w:val="22"/>
                <w:lang w:val="ro-RO"/>
              </w:rPr>
              <w:t>Lipsa infrastructurii portuare: Limitarea valorificării transportului naval și turismului fluvial.</w:t>
            </w:r>
          </w:p>
          <w:p w14:paraId="65827FFE">
            <w:pPr>
              <w:numPr>
                <w:ilvl w:val="0"/>
                <w:numId w:val="33"/>
              </w:numPr>
              <w:ind w:right="136"/>
              <w:contextualSpacing/>
              <w:rPr>
                <w:rFonts w:cs="Arial" w:eastAsiaTheme="minorEastAsia"/>
                <w:sz w:val="22"/>
                <w:lang w:val="ro-RO"/>
              </w:rPr>
            </w:pPr>
            <w:r>
              <w:rPr>
                <w:rFonts w:cs="Arial" w:eastAsiaTheme="minorEastAsia"/>
                <w:sz w:val="22"/>
                <w:lang w:val="ro-RO"/>
              </w:rPr>
              <w:t>Transport public insuficient: Nevoi neacoperite de mobilitate locală și regională.</w:t>
            </w:r>
          </w:p>
        </w:tc>
      </w:tr>
      <w:tr w14:paraId="300CDB87">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5B6A5654">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197EC9B5">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4D1222E9">
        <w:tblPrEx>
          <w:tblCellMar>
            <w:top w:w="0" w:type="dxa"/>
            <w:left w:w="0" w:type="dxa"/>
            <w:bottom w:w="0" w:type="dxa"/>
            <w:right w:w="0" w:type="dxa"/>
          </w:tblCellMar>
        </w:tblPrEx>
        <w:tc>
          <w:tcPr>
            <w:tcW w:w="2473" w:type="pct"/>
            <w:vMerge w:val="restart"/>
            <w:tcBorders>
              <w:top w:val="single" w:color="000000" w:sz="4" w:space="0"/>
              <w:left w:val="single" w:color="000000" w:sz="4" w:space="0"/>
              <w:right w:val="single" w:color="000000" w:sz="4" w:space="0"/>
            </w:tcBorders>
          </w:tcPr>
          <w:p w14:paraId="619B8B8C">
            <w:pPr>
              <w:numPr>
                <w:ilvl w:val="0"/>
                <w:numId w:val="34"/>
              </w:numPr>
              <w:ind w:right="105"/>
              <w:contextualSpacing/>
              <w:rPr>
                <w:rFonts w:cs="Arial" w:eastAsiaTheme="minorEastAsia"/>
                <w:sz w:val="22"/>
                <w:lang w:val="ro-RO"/>
              </w:rPr>
            </w:pPr>
            <w:r>
              <w:rPr>
                <w:rFonts w:cs="Arial" w:eastAsiaTheme="minorEastAsia"/>
                <w:sz w:val="22"/>
                <w:lang w:val="ro-RO"/>
              </w:rPr>
              <w:t>Fonduri UE și PNRR: Modernizarea și extinderea infrastructurii rutiere, feroviare și de utilități.</w:t>
            </w:r>
          </w:p>
          <w:p w14:paraId="5D1A55BF">
            <w:pPr>
              <w:numPr>
                <w:ilvl w:val="0"/>
                <w:numId w:val="34"/>
              </w:numPr>
              <w:ind w:right="105"/>
              <w:contextualSpacing/>
              <w:rPr>
                <w:rFonts w:cs="Arial" w:eastAsiaTheme="minorEastAsia"/>
                <w:sz w:val="22"/>
                <w:lang w:val="ro-RO"/>
              </w:rPr>
            </w:pPr>
            <w:r>
              <w:rPr>
                <w:rFonts w:cs="Arial" w:eastAsiaTheme="minorEastAsia"/>
                <w:sz w:val="22"/>
                <w:lang w:val="ro-RO"/>
              </w:rPr>
              <w:t>Digitalizare: Extinderea internetului și serviciilor publice online.</w:t>
            </w:r>
          </w:p>
        </w:tc>
        <w:tc>
          <w:tcPr>
            <w:tcW w:w="2527" w:type="pct"/>
            <w:tcBorders>
              <w:top w:val="single" w:color="000000" w:sz="4" w:space="0"/>
              <w:left w:val="single" w:color="000000" w:sz="4" w:space="0"/>
              <w:bottom w:val="single" w:color="000000" w:sz="4" w:space="0"/>
              <w:right w:val="single" w:color="000000" w:sz="4" w:space="0"/>
            </w:tcBorders>
          </w:tcPr>
          <w:p w14:paraId="3D8BBEDC">
            <w:pPr>
              <w:numPr>
                <w:ilvl w:val="0"/>
                <w:numId w:val="35"/>
              </w:numPr>
              <w:rPr>
                <w:rFonts w:cs="Arial" w:eastAsiaTheme="minorEastAsia"/>
                <w:sz w:val="22"/>
                <w:lang w:val="ro-RO"/>
              </w:rPr>
            </w:pPr>
            <w:r>
              <w:rPr>
                <w:rFonts w:cs="Arial" w:eastAsiaTheme="minorEastAsia"/>
                <w:sz w:val="22"/>
                <w:lang w:val="ro-RO"/>
              </w:rPr>
              <w:t>Birocrație și întârzieri: Blocaje în implementarea proiectelor de infrastructură.</w:t>
            </w:r>
          </w:p>
          <w:p w14:paraId="42D6FF6F">
            <w:pPr>
              <w:numPr>
                <w:ilvl w:val="0"/>
                <w:numId w:val="35"/>
              </w:numPr>
              <w:rPr>
                <w:rFonts w:cs="Arial" w:eastAsiaTheme="minorEastAsia"/>
                <w:sz w:val="22"/>
                <w:lang w:val="ro-RO"/>
              </w:rPr>
            </w:pPr>
            <w:r>
              <w:rPr>
                <w:rFonts w:cs="Arial" w:eastAsiaTheme="minorEastAsia"/>
                <w:sz w:val="22"/>
                <w:lang w:val="ro-RO"/>
              </w:rPr>
              <w:t>Depopularea satelor mici: Reducerea necesarului de transport și servicii.</w:t>
            </w:r>
          </w:p>
        </w:tc>
      </w:tr>
      <w:tr w14:paraId="5627B562">
        <w:tblPrEx>
          <w:tblCellMar>
            <w:top w:w="0" w:type="dxa"/>
            <w:left w:w="0" w:type="dxa"/>
            <w:bottom w:w="0" w:type="dxa"/>
            <w:right w:w="0" w:type="dxa"/>
          </w:tblCellMar>
        </w:tblPrEx>
        <w:trPr>
          <w:gridAfter w:val="1"/>
          <w:wAfter w:w="2527" w:type="pct"/>
          <w:trHeight w:val="414" w:hRule="atLeast"/>
        </w:trPr>
        <w:tc>
          <w:tcPr>
            <w:tcW w:w="2473" w:type="pct"/>
            <w:vMerge w:val="continue"/>
            <w:tcBorders>
              <w:left w:val="single" w:color="000000" w:sz="4" w:space="0"/>
              <w:bottom w:val="single" w:color="000000" w:sz="4" w:space="0"/>
              <w:right w:val="single" w:color="000000" w:sz="4" w:space="0"/>
            </w:tcBorders>
          </w:tcPr>
          <w:p w14:paraId="4BD21977">
            <w:pPr>
              <w:numPr>
                <w:ilvl w:val="0"/>
                <w:numId w:val="34"/>
              </w:numPr>
              <w:ind w:left="420" w:right="105"/>
              <w:contextualSpacing/>
              <w:rPr>
                <w:rFonts w:cs="Arial" w:eastAsiaTheme="minorEastAsia"/>
                <w:sz w:val="22"/>
                <w:lang w:val="ro-RO"/>
              </w:rPr>
            </w:pPr>
          </w:p>
        </w:tc>
      </w:tr>
    </w:tbl>
    <w:p w14:paraId="31385C41">
      <w:pPr>
        <w:ind w:firstLine="0"/>
        <w:rPr>
          <w:rFonts w:cs="Arial"/>
          <w:sz w:val="22"/>
          <w:lang w:val="ro-RO"/>
        </w:rPr>
      </w:pPr>
    </w:p>
    <w:tbl>
      <w:tblPr>
        <w:tblStyle w:val="12"/>
        <w:tblW w:w="5000" w:type="pct"/>
        <w:tblInd w:w="0" w:type="dxa"/>
        <w:tblLayout w:type="autofit"/>
        <w:tblCellMar>
          <w:top w:w="0" w:type="dxa"/>
          <w:left w:w="0" w:type="dxa"/>
          <w:bottom w:w="0" w:type="dxa"/>
          <w:right w:w="0" w:type="dxa"/>
        </w:tblCellMar>
      </w:tblPr>
      <w:tblGrid>
        <w:gridCol w:w="4772"/>
        <w:gridCol w:w="4877"/>
      </w:tblGrid>
      <w:tr w14:paraId="2ED905DC">
        <w:tblPrEx>
          <w:tblCellMar>
            <w:top w:w="0" w:type="dxa"/>
            <w:left w:w="0" w:type="dxa"/>
            <w:bottom w:w="0" w:type="dxa"/>
            <w:right w:w="0" w:type="dxa"/>
          </w:tblCellMar>
        </w:tblPrEx>
        <w:trPr>
          <w:trHeight w:val="440" w:hRule="exact"/>
          <w:tblHead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25B1BE2A">
            <w:pPr>
              <w:ind w:firstLine="0"/>
              <w:jc w:val="center"/>
              <w:rPr>
                <w:rFonts w:eastAsia="Verdana" w:cs="Arial"/>
                <w:b/>
                <w:sz w:val="22"/>
                <w:lang w:val="ro-RO"/>
              </w:rPr>
            </w:pPr>
            <w:r>
              <w:rPr>
                <w:rFonts w:cs="Arial" w:eastAsiaTheme="minorEastAsia"/>
                <w:b/>
                <w:sz w:val="22"/>
                <w:lang w:val="ro-RO"/>
              </w:rPr>
              <w:t>Economie locală (agricultură, comerț, servicii)</w:t>
            </w:r>
            <w:bookmarkStart w:id="56" w:name="_Toc2327386"/>
            <w:bookmarkEnd w:id="56"/>
          </w:p>
        </w:tc>
      </w:tr>
      <w:tr w14:paraId="3489E651">
        <w:tblPrEx>
          <w:tblCellMar>
            <w:top w:w="0" w:type="dxa"/>
            <w:left w:w="0" w:type="dxa"/>
            <w:bottom w:w="0" w:type="dxa"/>
            <w:right w:w="0" w:type="dxa"/>
          </w:tblCellMar>
        </w:tblPrEx>
        <w:trPr>
          <w:trHeight w:val="350" w:hRule="exact"/>
        </w:trPr>
        <w:tc>
          <w:tcPr>
            <w:tcW w:w="2473" w:type="pct"/>
            <w:tcBorders>
              <w:top w:val="single" w:color="000000" w:sz="4" w:space="0"/>
              <w:left w:val="single" w:color="000000" w:sz="4" w:space="0"/>
              <w:bottom w:val="single" w:color="000000" w:sz="4" w:space="0"/>
              <w:right w:val="single" w:color="000000" w:sz="4" w:space="0"/>
            </w:tcBorders>
            <w:vAlign w:val="center"/>
          </w:tcPr>
          <w:p w14:paraId="56C29007">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011C44D9">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174D65B7">
        <w:tblPrEx>
          <w:tblCellMar>
            <w:top w:w="0" w:type="dxa"/>
            <w:left w:w="0" w:type="dxa"/>
            <w:bottom w:w="0" w:type="dxa"/>
            <w:right w:w="0" w:type="dxa"/>
          </w:tblCellMar>
        </w:tblPrEx>
        <w:trPr>
          <w:trHeight w:val="10281" w:hRule="exact"/>
        </w:trPr>
        <w:tc>
          <w:tcPr>
            <w:tcW w:w="2473" w:type="pct"/>
            <w:tcBorders>
              <w:top w:val="single" w:color="000000" w:sz="4" w:space="0"/>
              <w:left w:val="single" w:color="000000" w:sz="4" w:space="0"/>
              <w:bottom w:val="single" w:color="000000" w:sz="4" w:space="0"/>
              <w:right w:val="single" w:color="000000" w:sz="4" w:space="0"/>
            </w:tcBorders>
          </w:tcPr>
          <w:p w14:paraId="47F8CDED">
            <w:pPr>
              <w:numPr>
                <w:ilvl w:val="0"/>
                <w:numId w:val="36"/>
              </w:numPr>
              <w:ind w:right="122"/>
              <w:contextualSpacing/>
              <w:rPr>
                <w:rFonts w:cs="Arial" w:eastAsiaTheme="minorEastAsia"/>
                <w:sz w:val="22"/>
                <w:lang w:val="ro-RO"/>
              </w:rPr>
            </w:pPr>
            <w:r>
              <w:rPr>
                <w:rFonts w:cs="Arial" w:eastAsiaTheme="minorEastAsia"/>
                <w:sz w:val="22"/>
                <w:lang w:val="ro-RO"/>
              </w:rPr>
              <w:t>Diversitate agricolă și agroalimentară – Comuna beneficiază de o agricultură diversificată, cu sectoare dezvoltate precum legumicultura, pomicultura, viticultura și silvicultura, care asigură o bază solidă pentru economia locală.</w:t>
            </w:r>
          </w:p>
          <w:p w14:paraId="2F00D49E">
            <w:pPr>
              <w:numPr>
                <w:ilvl w:val="0"/>
                <w:numId w:val="36"/>
              </w:numPr>
              <w:ind w:right="122"/>
              <w:contextualSpacing/>
              <w:rPr>
                <w:rFonts w:cs="Arial" w:eastAsiaTheme="minorEastAsia"/>
                <w:sz w:val="22"/>
                <w:lang w:val="ro-RO"/>
              </w:rPr>
            </w:pPr>
            <w:r>
              <w:rPr>
                <w:rFonts w:cs="Arial" w:eastAsiaTheme="minorEastAsia"/>
                <w:sz w:val="22"/>
                <w:lang w:val="ro-RO"/>
              </w:rPr>
              <w:t>Poziție strategică și infrastructură de transport – Accesul facil la drumuri naționale importante (DN6, DN56A) și la calea ferată CF1 facilitează transportul produselor și accesul la piețe regionale și naționale.</w:t>
            </w:r>
          </w:p>
          <w:p w14:paraId="536EFA98">
            <w:pPr>
              <w:numPr>
                <w:ilvl w:val="0"/>
                <w:numId w:val="36"/>
              </w:numPr>
              <w:ind w:right="122"/>
              <w:contextualSpacing/>
              <w:rPr>
                <w:rFonts w:cs="Arial" w:eastAsiaTheme="minorEastAsia"/>
                <w:sz w:val="22"/>
                <w:lang w:val="ro-RO"/>
              </w:rPr>
            </w:pPr>
            <w:r>
              <w:rPr>
                <w:rFonts w:cs="Arial" w:eastAsiaTheme="minorEastAsia"/>
                <w:sz w:val="22"/>
                <w:lang w:val="ro-RO"/>
              </w:rPr>
              <w:t>Potențial turistic în creștere – Insula Șimian și patrimoniul cultural istoric oferă oportunități pentru dezvoltarea turismului rural și cultural, diversificând sursele de venit.</w:t>
            </w:r>
          </w:p>
          <w:p w14:paraId="1C6DC776">
            <w:pPr>
              <w:numPr>
                <w:ilvl w:val="0"/>
                <w:numId w:val="36"/>
              </w:numPr>
              <w:ind w:right="122"/>
              <w:contextualSpacing/>
              <w:rPr>
                <w:rFonts w:cs="Arial" w:eastAsiaTheme="minorEastAsia"/>
                <w:sz w:val="22"/>
                <w:lang w:val="ro-RO"/>
              </w:rPr>
            </w:pPr>
            <w:r>
              <w:rPr>
                <w:rFonts w:cs="Arial" w:eastAsiaTheme="minorEastAsia"/>
                <w:sz w:val="22"/>
                <w:lang w:val="ro-RO"/>
              </w:rPr>
              <w:t>Extinderea infrastructurii de utilități – Modernizarea rețelelor de gaze naturale, apă, canalizare și internet de mare viteză stimulează mediul de afaceri și crește atractivitatea locală pentru investiții.</w:t>
            </w:r>
          </w:p>
        </w:tc>
        <w:tc>
          <w:tcPr>
            <w:tcW w:w="2527" w:type="pct"/>
            <w:tcBorders>
              <w:top w:val="single" w:color="000000" w:sz="4" w:space="0"/>
              <w:left w:val="single" w:color="000000" w:sz="4" w:space="0"/>
              <w:bottom w:val="single" w:color="000000" w:sz="4" w:space="0"/>
              <w:right w:val="single" w:color="000000" w:sz="4" w:space="0"/>
            </w:tcBorders>
          </w:tcPr>
          <w:p w14:paraId="4A628FED">
            <w:pPr>
              <w:pStyle w:val="37"/>
              <w:numPr>
                <w:ilvl w:val="0"/>
                <w:numId w:val="36"/>
              </w:numPr>
              <w:ind w:right="134"/>
              <w:rPr>
                <w:rFonts w:cs="Arial" w:eastAsiaTheme="minorEastAsia"/>
                <w:sz w:val="22"/>
                <w:lang w:val="ro-RO"/>
              </w:rPr>
            </w:pPr>
            <w:r>
              <w:rPr>
                <w:rFonts w:cs="Arial" w:eastAsiaTheme="minorEastAsia"/>
                <w:sz w:val="22"/>
                <w:lang w:val="ro-RO"/>
              </w:rPr>
              <w:t>Infrastructură locală incompletă – Drumurile comunale și străzile din satele componente sunt parțial nemodernizate, afectând accesibilitatea și transportul produselor agricole.</w:t>
            </w:r>
          </w:p>
          <w:p w14:paraId="7628355F">
            <w:pPr>
              <w:pStyle w:val="37"/>
              <w:numPr>
                <w:ilvl w:val="0"/>
                <w:numId w:val="36"/>
              </w:numPr>
              <w:ind w:right="134"/>
              <w:rPr>
                <w:rFonts w:cs="Arial" w:eastAsiaTheme="minorEastAsia"/>
                <w:sz w:val="22"/>
                <w:lang w:val="ro-RO"/>
              </w:rPr>
            </w:pPr>
            <w:r>
              <w:rPr>
                <w:rFonts w:cs="Arial" w:eastAsiaTheme="minorEastAsia"/>
                <w:sz w:val="22"/>
                <w:lang w:val="ro-RO"/>
              </w:rPr>
              <w:t>Lipsa unor centre comerciale și industriale majore – Economia locală este dominată de activități mici și mijlocii, cu puține investiții în industrie și servicii de mare anvergură.</w:t>
            </w:r>
          </w:p>
          <w:p w14:paraId="35FB4B28">
            <w:pPr>
              <w:pStyle w:val="37"/>
              <w:numPr>
                <w:ilvl w:val="0"/>
                <w:numId w:val="36"/>
              </w:numPr>
              <w:ind w:right="134"/>
              <w:rPr>
                <w:rFonts w:cs="Arial" w:eastAsiaTheme="minorEastAsia"/>
                <w:sz w:val="22"/>
                <w:lang w:val="ro-RO"/>
              </w:rPr>
            </w:pPr>
            <w:r>
              <w:rPr>
                <w:rFonts w:cs="Arial" w:eastAsiaTheme="minorEastAsia"/>
                <w:sz w:val="22"/>
                <w:lang w:val="ro-RO"/>
              </w:rPr>
              <w:t>Dependența de agricultura tradițională – Lipsa unor mecanisme eficiente de procesare și valorificare a produselor agricole limitează creșterea valorii adăugate locale.</w:t>
            </w:r>
          </w:p>
          <w:p w14:paraId="261BE5D8">
            <w:pPr>
              <w:pStyle w:val="37"/>
              <w:numPr>
                <w:ilvl w:val="0"/>
                <w:numId w:val="36"/>
              </w:numPr>
              <w:ind w:right="134"/>
              <w:rPr>
                <w:rFonts w:cs="Arial" w:eastAsiaTheme="minorEastAsia"/>
                <w:sz w:val="22"/>
                <w:lang w:val="ro-RO"/>
              </w:rPr>
            </w:pPr>
            <w:r>
              <w:rPr>
                <w:rFonts w:cs="Arial" w:eastAsiaTheme="minorEastAsia"/>
                <w:sz w:val="22"/>
                <w:lang w:val="ro-RO"/>
              </w:rPr>
              <w:t>Limitări în accesul la finanțări și suport pentru IMM-uri – Antreprenorii locali se confruntă cu dificultăți în accesarea fondurilor și în dezvoltarea afacerilor pe termen lung.</w:t>
            </w:r>
          </w:p>
        </w:tc>
      </w:tr>
      <w:tr w14:paraId="26C3F86A">
        <w:tblPrEx>
          <w:tblCellMar>
            <w:top w:w="0" w:type="dxa"/>
            <w:left w:w="0" w:type="dxa"/>
            <w:bottom w:w="0" w:type="dxa"/>
            <w:right w:w="0" w:type="dxa"/>
          </w:tblCellMar>
        </w:tblPrEx>
        <w:trPr>
          <w:trHeight w:val="440" w:hRule="exact"/>
        </w:trPr>
        <w:tc>
          <w:tcPr>
            <w:tcW w:w="2473" w:type="pct"/>
            <w:tcBorders>
              <w:top w:val="single" w:color="000000" w:sz="4" w:space="0"/>
              <w:left w:val="single" w:color="000000" w:sz="4" w:space="0"/>
              <w:bottom w:val="single" w:color="000000" w:sz="4" w:space="0"/>
              <w:right w:val="single" w:color="000000" w:sz="4" w:space="0"/>
            </w:tcBorders>
          </w:tcPr>
          <w:p w14:paraId="0F43D395">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3818B426">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64E0516E">
        <w:tblPrEx>
          <w:tblCellMar>
            <w:top w:w="0" w:type="dxa"/>
            <w:left w:w="0" w:type="dxa"/>
            <w:bottom w:w="0" w:type="dxa"/>
            <w:right w:w="0" w:type="dxa"/>
          </w:tblCellMar>
        </w:tblPrEx>
        <w:trPr>
          <w:trHeight w:val="9651" w:hRule="exact"/>
        </w:trPr>
        <w:tc>
          <w:tcPr>
            <w:tcW w:w="2473" w:type="pct"/>
            <w:tcBorders>
              <w:top w:val="single" w:color="000000" w:sz="4" w:space="0"/>
              <w:left w:val="single" w:color="000000" w:sz="4" w:space="0"/>
              <w:bottom w:val="single" w:color="000000" w:sz="4" w:space="0"/>
              <w:right w:val="single" w:color="000000" w:sz="4" w:space="0"/>
            </w:tcBorders>
          </w:tcPr>
          <w:p w14:paraId="28560472">
            <w:pPr>
              <w:numPr>
                <w:ilvl w:val="0"/>
                <w:numId w:val="36"/>
              </w:numPr>
              <w:ind w:right="122"/>
              <w:contextualSpacing/>
              <w:rPr>
                <w:rFonts w:cs="Arial" w:eastAsiaTheme="minorEastAsia"/>
                <w:sz w:val="22"/>
                <w:lang w:val="ro-RO"/>
              </w:rPr>
            </w:pPr>
            <w:r>
              <w:rPr>
                <w:rFonts w:cs="Arial" w:eastAsiaTheme="minorEastAsia"/>
                <w:sz w:val="22"/>
                <w:lang w:val="ro-RO"/>
              </w:rPr>
              <w:t>Acces la fonduri europene și guvernamentale – Programele de finanțare 2021-2027, PNRR și alte surse pot susține investiții în infrastructură, agricultură modernă, turism și digitalizare.</w:t>
            </w:r>
          </w:p>
          <w:p w14:paraId="06F557A5">
            <w:pPr>
              <w:numPr>
                <w:ilvl w:val="0"/>
                <w:numId w:val="36"/>
              </w:numPr>
              <w:ind w:right="122"/>
              <w:contextualSpacing/>
              <w:rPr>
                <w:rFonts w:cs="Arial" w:eastAsiaTheme="minorEastAsia"/>
                <w:sz w:val="22"/>
                <w:lang w:val="ro-RO"/>
              </w:rPr>
            </w:pPr>
            <w:r>
              <w:rPr>
                <w:rFonts w:cs="Arial" w:eastAsiaTheme="minorEastAsia"/>
                <w:sz w:val="22"/>
                <w:lang w:val="ro-RO"/>
              </w:rPr>
              <w:t>Dezvoltarea turismului sustenabil și agroalimentar – Valorificarea patrimoniului natural și cultural, precum și promovarea produselor locale, pot crește atractivitatea și veniturile comunității.</w:t>
            </w:r>
          </w:p>
          <w:p w14:paraId="0D2FFA56">
            <w:pPr>
              <w:numPr>
                <w:ilvl w:val="0"/>
                <w:numId w:val="36"/>
              </w:numPr>
              <w:ind w:right="122"/>
              <w:contextualSpacing/>
              <w:rPr>
                <w:rFonts w:cs="Arial" w:eastAsiaTheme="minorEastAsia"/>
                <w:sz w:val="22"/>
                <w:lang w:val="ro-RO"/>
              </w:rPr>
            </w:pPr>
            <w:r>
              <w:rPr>
                <w:rFonts w:cs="Arial" w:eastAsiaTheme="minorEastAsia"/>
                <w:sz w:val="22"/>
                <w:lang w:val="ro-RO"/>
              </w:rPr>
              <w:t>Digitalizarea și inovarea în economie – Extinderea serviciilor digitale și a platformelor online pentru comerț și servicii poate sprijini antreprenoriatul și accesul la piețe noi.</w:t>
            </w:r>
          </w:p>
          <w:p w14:paraId="6E19798B">
            <w:pPr>
              <w:numPr>
                <w:ilvl w:val="0"/>
                <w:numId w:val="36"/>
              </w:numPr>
              <w:ind w:right="122"/>
              <w:contextualSpacing/>
              <w:rPr>
                <w:rFonts w:cs="Arial" w:eastAsiaTheme="minorEastAsia"/>
                <w:sz w:val="22"/>
                <w:lang w:val="ro-RO"/>
              </w:rPr>
            </w:pPr>
            <w:r>
              <w:rPr>
                <w:rFonts w:cs="Arial" w:eastAsiaTheme="minorEastAsia"/>
                <w:sz w:val="22"/>
                <w:lang w:val="ro-RO"/>
              </w:rPr>
              <w:t>Parteneriate regionale și intercomunitare – Colaborarea cu alte localități și instituții poate stimula proiecte comune și dezvoltarea economică integrată.</w:t>
            </w:r>
          </w:p>
        </w:tc>
        <w:tc>
          <w:tcPr>
            <w:tcW w:w="2527" w:type="pct"/>
            <w:tcBorders>
              <w:top w:val="single" w:color="000000" w:sz="4" w:space="0"/>
              <w:left w:val="single" w:color="000000" w:sz="4" w:space="0"/>
              <w:bottom w:val="single" w:color="000000" w:sz="4" w:space="0"/>
              <w:right w:val="single" w:color="000000" w:sz="4" w:space="0"/>
            </w:tcBorders>
          </w:tcPr>
          <w:p w14:paraId="28E3C809">
            <w:pPr>
              <w:numPr>
                <w:ilvl w:val="0"/>
                <w:numId w:val="36"/>
              </w:numPr>
              <w:contextualSpacing/>
              <w:rPr>
                <w:rFonts w:cs="Arial" w:eastAsiaTheme="minorEastAsia"/>
                <w:sz w:val="22"/>
                <w:lang w:val="ro-RO"/>
              </w:rPr>
            </w:pPr>
            <w:r>
              <w:rPr>
                <w:rFonts w:cs="Arial" w:eastAsiaTheme="minorEastAsia"/>
                <w:sz w:val="22"/>
                <w:lang w:val="ro-RO"/>
              </w:rPr>
              <w:t>Migrația tinerilor și îmbătrânirea populației – Exodul forței de muncă tinere către orașe sau în străinătate afectează disponibilitatea resurselor umane pentru dezvoltare economică.</w:t>
            </w:r>
          </w:p>
          <w:p w14:paraId="457DD843">
            <w:pPr>
              <w:numPr>
                <w:ilvl w:val="0"/>
                <w:numId w:val="36"/>
              </w:numPr>
              <w:contextualSpacing/>
              <w:rPr>
                <w:rFonts w:cs="Arial" w:eastAsiaTheme="minorEastAsia"/>
                <w:sz w:val="22"/>
                <w:lang w:val="ro-RO"/>
              </w:rPr>
            </w:pPr>
            <w:r>
              <w:rPr>
                <w:rFonts w:cs="Arial" w:eastAsiaTheme="minorEastAsia"/>
                <w:sz w:val="22"/>
                <w:lang w:val="ro-RO"/>
              </w:rPr>
              <w:t>Vulnerabilitatea la fluctuațiile pieței agricole – Prețurile volatile și schimbările legislative pot afecta stabilitatea veniturilor agricultorilor și a producătorilor locali.</w:t>
            </w:r>
          </w:p>
          <w:p w14:paraId="07DE57C3">
            <w:pPr>
              <w:numPr>
                <w:ilvl w:val="0"/>
                <w:numId w:val="36"/>
              </w:numPr>
              <w:contextualSpacing/>
              <w:rPr>
                <w:rFonts w:cs="Arial" w:eastAsiaTheme="minorEastAsia"/>
                <w:sz w:val="22"/>
                <w:lang w:val="ro-RO"/>
              </w:rPr>
            </w:pPr>
            <w:r>
              <w:rPr>
                <w:rFonts w:cs="Arial" w:eastAsiaTheme="minorEastAsia"/>
                <w:sz w:val="22"/>
                <w:lang w:val="ro-RO"/>
              </w:rPr>
              <w:t>Întârzieri în implementarea proiectelor de infrastructură – Birocrația, capacitatea administrativă limitată și lipsa cofinanțării pot întârzia dezvoltarea economică.</w:t>
            </w:r>
          </w:p>
          <w:p w14:paraId="02A090D1">
            <w:pPr>
              <w:numPr>
                <w:ilvl w:val="0"/>
                <w:numId w:val="36"/>
              </w:numPr>
              <w:contextualSpacing/>
              <w:rPr>
                <w:rFonts w:cs="Arial" w:eastAsiaTheme="minorEastAsia"/>
                <w:sz w:val="22"/>
                <w:lang w:val="ro-RO"/>
              </w:rPr>
            </w:pPr>
            <w:r>
              <w:rPr>
                <w:rFonts w:cs="Arial" w:eastAsiaTheme="minorEastAsia"/>
                <w:sz w:val="22"/>
                <w:lang w:val="ro-RO"/>
              </w:rPr>
              <w:t>Concurența regională – Alte localități din județ și regiune pot atrage mai ușor investiții și fonduri, reducând șansele comunei Șimian de a se dezvolta rapid.</w:t>
            </w:r>
          </w:p>
        </w:tc>
      </w:tr>
    </w:tbl>
    <w:p w14:paraId="5CFEB32D">
      <w:pPr>
        <w:ind w:firstLine="0"/>
        <w:rPr>
          <w:rFonts w:cs="Arial"/>
          <w:sz w:val="22"/>
          <w:lang w:val="ro-RO"/>
        </w:rPr>
      </w:pPr>
    </w:p>
    <w:tbl>
      <w:tblPr>
        <w:tblStyle w:val="12"/>
        <w:tblW w:w="5000" w:type="pct"/>
        <w:tblInd w:w="0" w:type="dxa"/>
        <w:tblLayout w:type="autofit"/>
        <w:tblCellMar>
          <w:top w:w="0" w:type="dxa"/>
          <w:left w:w="0" w:type="dxa"/>
          <w:bottom w:w="0" w:type="dxa"/>
          <w:right w:w="0" w:type="dxa"/>
        </w:tblCellMar>
      </w:tblPr>
      <w:tblGrid>
        <w:gridCol w:w="4772"/>
        <w:gridCol w:w="4877"/>
      </w:tblGrid>
      <w:tr w14:paraId="44348D40">
        <w:tblPrEx>
          <w:tblCellMar>
            <w:top w:w="0" w:type="dxa"/>
            <w:left w:w="0" w:type="dxa"/>
            <w:bottom w:w="0" w:type="dxa"/>
            <w:right w:w="0" w:type="dxa"/>
          </w:tblCellMar>
        </w:tblPrEx>
        <w:trPr>
          <w:trHeight w:val="440" w:hRule="exact"/>
          <w:tblHead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5AD8A4BB">
            <w:pPr>
              <w:ind w:firstLine="0"/>
              <w:jc w:val="center"/>
              <w:rPr>
                <w:rFonts w:eastAsia="Verdana" w:cs="Arial"/>
                <w:b/>
                <w:sz w:val="22"/>
                <w:lang w:val="ro-RO"/>
              </w:rPr>
            </w:pPr>
            <w:r>
              <w:rPr>
                <w:rFonts w:cs="Arial" w:eastAsiaTheme="minorEastAsia"/>
                <w:b/>
                <w:sz w:val="22"/>
                <w:lang w:val="ro-RO"/>
              </w:rPr>
              <w:t>Educație, cultură și turism</w:t>
            </w:r>
          </w:p>
        </w:tc>
      </w:tr>
      <w:tr w14:paraId="3B32B369">
        <w:tblPrEx>
          <w:tblCellMar>
            <w:top w:w="0" w:type="dxa"/>
            <w:left w:w="0" w:type="dxa"/>
            <w:bottom w:w="0" w:type="dxa"/>
            <w:right w:w="0" w:type="dxa"/>
          </w:tblCellMar>
        </w:tblPrEx>
        <w:trPr>
          <w:trHeight w:val="350" w:hRule="exact"/>
        </w:trPr>
        <w:tc>
          <w:tcPr>
            <w:tcW w:w="2473" w:type="pct"/>
            <w:tcBorders>
              <w:top w:val="single" w:color="000000" w:sz="4" w:space="0"/>
              <w:left w:val="single" w:color="000000" w:sz="4" w:space="0"/>
              <w:bottom w:val="single" w:color="000000" w:sz="4" w:space="0"/>
              <w:right w:val="single" w:color="000000" w:sz="4" w:space="0"/>
            </w:tcBorders>
            <w:vAlign w:val="center"/>
          </w:tcPr>
          <w:p w14:paraId="2F1B98A2">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50BB4429">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06867424">
        <w:tblPrEx>
          <w:tblCellMar>
            <w:top w:w="0" w:type="dxa"/>
            <w:left w:w="0" w:type="dxa"/>
            <w:bottom w:w="0" w:type="dxa"/>
            <w:right w:w="0" w:type="dxa"/>
          </w:tblCellMar>
        </w:tblPrEx>
        <w:trPr>
          <w:trHeight w:val="12261" w:hRule="exact"/>
        </w:trPr>
        <w:tc>
          <w:tcPr>
            <w:tcW w:w="2473" w:type="pct"/>
            <w:tcBorders>
              <w:top w:val="single" w:color="000000" w:sz="4" w:space="0"/>
              <w:left w:val="single" w:color="000000" w:sz="4" w:space="0"/>
              <w:bottom w:val="single" w:color="000000" w:sz="4" w:space="0"/>
              <w:right w:val="single" w:color="000000" w:sz="4" w:space="0"/>
            </w:tcBorders>
          </w:tcPr>
          <w:p w14:paraId="49055C58">
            <w:pPr>
              <w:numPr>
                <w:ilvl w:val="0"/>
                <w:numId w:val="32"/>
              </w:numPr>
              <w:ind w:right="95"/>
              <w:contextualSpacing/>
              <w:rPr>
                <w:rFonts w:cs="Arial" w:eastAsiaTheme="minorEastAsia"/>
                <w:sz w:val="22"/>
                <w:lang w:val="ro-RO"/>
              </w:rPr>
            </w:pPr>
            <w:r>
              <w:rPr>
                <w:rFonts w:cs="Arial" w:eastAsiaTheme="minorEastAsia"/>
                <w:sz w:val="22"/>
                <w:lang w:val="ro-RO"/>
              </w:rPr>
              <w:t>Patrimoniu istoric și cultural valoros – Prezența unor obiective de referință, precum Insula Șimian cu vestigiile Ada Kaleh, Muzeul Satului, Cula lui Tudor Vladimirescu, Cula Nistor și Mănăstirea Cerneți, oferă unicitate și atractivitate turistică și educațională.</w:t>
            </w:r>
          </w:p>
          <w:p w14:paraId="6DB474D5">
            <w:pPr>
              <w:numPr>
                <w:ilvl w:val="0"/>
                <w:numId w:val="32"/>
              </w:numPr>
              <w:ind w:right="95"/>
              <w:contextualSpacing/>
              <w:rPr>
                <w:rFonts w:cs="Arial" w:eastAsiaTheme="minorEastAsia"/>
                <w:sz w:val="22"/>
                <w:lang w:val="ro-RO"/>
              </w:rPr>
            </w:pPr>
            <w:r>
              <w:rPr>
                <w:rFonts w:cs="Arial" w:eastAsiaTheme="minorEastAsia"/>
                <w:sz w:val="22"/>
                <w:lang w:val="ro-RO"/>
              </w:rPr>
              <w:t>Evenimente și proiecte culturale și turistice moderne – Organizarea de evenimente precum „Open Waterways 2025”, tururi ghidate, concerte, proiecții de film și concursuri de arhitectură, care implică comunitatea și pun în valoare patrimoniul local.</w:t>
            </w:r>
          </w:p>
          <w:p w14:paraId="3EF2F98D">
            <w:pPr>
              <w:numPr>
                <w:ilvl w:val="0"/>
                <w:numId w:val="32"/>
              </w:numPr>
              <w:ind w:right="95"/>
              <w:contextualSpacing/>
              <w:rPr>
                <w:rFonts w:cs="Arial" w:eastAsiaTheme="minorEastAsia"/>
                <w:sz w:val="22"/>
                <w:lang w:val="ro-RO"/>
              </w:rPr>
            </w:pPr>
            <w:r>
              <w:rPr>
                <w:rFonts w:cs="Arial" w:eastAsiaTheme="minorEastAsia"/>
                <w:sz w:val="22"/>
                <w:lang w:val="ro-RO"/>
              </w:rPr>
              <w:t>Implicarea tinerilor și a comunității – Proiecte educaționale și culturale derulate cu sprijinul autorităților și al ONG-urilor, ce stimulează antreprenoriatul tinerilor și participarea civică.</w:t>
            </w:r>
          </w:p>
          <w:p w14:paraId="0D19BB08">
            <w:pPr>
              <w:numPr>
                <w:ilvl w:val="0"/>
                <w:numId w:val="32"/>
              </w:numPr>
              <w:ind w:right="95"/>
              <w:contextualSpacing/>
              <w:rPr>
                <w:rFonts w:cs="Arial" w:eastAsiaTheme="minorEastAsia"/>
                <w:sz w:val="22"/>
                <w:lang w:val="ro-RO"/>
              </w:rPr>
            </w:pPr>
            <w:r>
              <w:rPr>
                <w:rFonts w:cs="Arial" w:eastAsiaTheme="minorEastAsia"/>
                <w:sz w:val="22"/>
                <w:lang w:val="ro-RO"/>
              </w:rPr>
              <w:t>Oferta educațională modernizată – Investiții în infrastructura școlară (ex. reabilitarea la standard nZEB a internatului Liceului Tehnologic „Tudor Vladimirescu”), adaptarea profilurilor la cerințele pieței muncii și colaborări cu instituții regionale.</w:t>
            </w:r>
          </w:p>
        </w:tc>
        <w:tc>
          <w:tcPr>
            <w:tcW w:w="2527" w:type="pct"/>
            <w:tcBorders>
              <w:top w:val="single" w:color="000000" w:sz="4" w:space="0"/>
              <w:left w:val="single" w:color="000000" w:sz="4" w:space="0"/>
              <w:bottom w:val="single" w:color="000000" w:sz="4" w:space="0"/>
              <w:right w:val="single" w:color="000000" w:sz="4" w:space="0"/>
            </w:tcBorders>
          </w:tcPr>
          <w:p w14:paraId="6F2F5AB1">
            <w:pPr>
              <w:numPr>
                <w:ilvl w:val="0"/>
                <w:numId w:val="33"/>
              </w:numPr>
              <w:ind w:right="134"/>
              <w:contextualSpacing/>
              <w:rPr>
                <w:rFonts w:cs="Arial" w:eastAsiaTheme="minorEastAsia"/>
                <w:sz w:val="22"/>
                <w:lang w:val="ro-RO"/>
              </w:rPr>
            </w:pPr>
            <w:r>
              <w:rPr>
                <w:rFonts w:cs="Arial" w:eastAsiaTheme="minorEastAsia"/>
                <w:sz w:val="22"/>
                <w:lang w:val="ro-RO"/>
              </w:rPr>
              <w:t>Promovare insuficientă a ofertei turistice și culturale – Vizibilitate redusă pe piața turistică internă și externă, lipsa unor strategii de marketing digital și materiale de informare actualizate.</w:t>
            </w:r>
          </w:p>
          <w:p w14:paraId="06B71EF5">
            <w:pPr>
              <w:numPr>
                <w:ilvl w:val="0"/>
                <w:numId w:val="33"/>
              </w:numPr>
              <w:ind w:right="134"/>
              <w:contextualSpacing/>
              <w:rPr>
                <w:rFonts w:cs="Arial" w:eastAsiaTheme="minorEastAsia"/>
                <w:sz w:val="22"/>
                <w:lang w:val="ro-RO"/>
              </w:rPr>
            </w:pPr>
            <w:r>
              <w:rPr>
                <w:rFonts w:cs="Arial" w:eastAsiaTheme="minorEastAsia"/>
                <w:sz w:val="22"/>
                <w:lang w:val="ro-RO"/>
              </w:rPr>
              <w:t>Calitatea și diversitatea serviciilor turistice – Infrastructură de cazare și agrement limitată, personal insuficient calificat în turism și servicii conexe.</w:t>
            </w:r>
          </w:p>
          <w:p w14:paraId="3A2B4AA3">
            <w:pPr>
              <w:numPr>
                <w:ilvl w:val="0"/>
                <w:numId w:val="33"/>
              </w:numPr>
              <w:ind w:right="134"/>
              <w:contextualSpacing/>
              <w:rPr>
                <w:rFonts w:cs="Arial" w:eastAsiaTheme="minorEastAsia"/>
                <w:sz w:val="22"/>
                <w:lang w:val="ro-RO"/>
              </w:rPr>
            </w:pPr>
            <w:r>
              <w:rPr>
                <w:rFonts w:cs="Arial" w:eastAsiaTheme="minorEastAsia"/>
                <w:sz w:val="22"/>
                <w:lang w:val="ro-RO"/>
              </w:rPr>
              <w:t>Acces limitat la activități culturale și educaționale în satele mici – Disparități între localități, cu acces redus la evenimente, biblioteci, ateliere și inițiative culturale moderne.</w:t>
            </w:r>
          </w:p>
          <w:p w14:paraId="0C6E8239">
            <w:pPr>
              <w:numPr>
                <w:ilvl w:val="0"/>
                <w:numId w:val="33"/>
              </w:numPr>
              <w:ind w:right="134"/>
              <w:contextualSpacing/>
              <w:rPr>
                <w:rFonts w:cs="Arial" w:eastAsiaTheme="minorEastAsia"/>
                <w:sz w:val="22"/>
                <w:lang w:val="ro-RO"/>
              </w:rPr>
            </w:pPr>
            <w:r>
              <w:rPr>
                <w:rFonts w:cs="Arial" w:eastAsiaTheme="minorEastAsia"/>
                <w:sz w:val="22"/>
                <w:lang w:val="ro-RO"/>
              </w:rPr>
              <w:t>Dependență de finanțări externe – Proiectele culturale și turistice depind în mare măsură de fonduri europene sau guvernamentale, ceea ce limitează continuitatea și dezvoltarea pe termen lung.</w:t>
            </w:r>
          </w:p>
        </w:tc>
      </w:tr>
      <w:tr w14:paraId="155661A6">
        <w:tblPrEx>
          <w:tblCellMar>
            <w:top w:w="0" w:type="dxa"/>
            <w:left w:w="0" w:type="dxa"/>
            <w:bottom w:w="0" w:type="dxa"/>
            <w:right w:w="0" w:type="dxa"/>
          </w:tblCellMar>
        </w:tblPrEx>
        <w:trPr>
          <w:trHeight w:val="440" w:hRule="exact"/>
        </w:trPr>
        <w:tc>
          <w:tcPr>
            <w:tcW w:w="2473" w:type="pct"/>
            <w:tcBorders>
              <w:top w:val="single" w:color="000000" w:sz="4" w:space="0"/>
              <w:left w:val="single" w:color="000000" w:sz="4" w:space="0"/>
              <w:bottom w:val="single" w:color="000000" w:sz="4" w:space="0"/>
              <w:right w:val="single" w:color="000000" w:sz="4" w:space="0"/>
            </w:tcBorders>
          </w:tcPr>
          <w:p w14:paraId="6F223BBA">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0F5A46AF">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641FA11C">
        <w:tblPrEx>
          <w:tblCellMar>
            <w:top w:w="0" w:type="dxa"/>
            <w:left w:w="0" w:type="dxa"/>
            <w:bottom w:w="0" w:type="dxa"/>
            <w:right w:w="0" w:type="dxa"/>
          </w:tblCellMar>
        </w:tblPrEx>
        <w:trPr>
          <w:trHeight w:val="11361" w:hRule="exact"/>
        </w:trPr>
        <w:tc>
          <w:tcPr>
            <w:tcW w:w="2473" w:type="pct"/>
            <w:tcBorders>
              <w:top w:val="single" w:color="000000" w:sz="4" w:space="0"/>
              <w:left w:val="single" w:color="000000" w:sz="4" w:space="0"/>
              <w:bottom w:val="single" w:color="000000" w:sz="4" w:space="0"/>
              <w:right w:val="single" w:color="000000" w:sz="4" w:space="0"/>
            </w:tcBorders>
          </w:tcPr>
          <w:p w14:paraId="61DA6B49">
            <w:pPr>
              <w:numPr>
                <w:ilvl w:val="0"/>
                <w:numId w:val="36"/>
              </w:numPr>
              <w:ind w:right="122"/>
              <w:contextualSpacing/>
              <w:rPr>
                <w:rFonts w:cs="Arial" w:eastAsiaTheme="minorEastAsia"/>
                <w:sz w:val="22"/>
                <w:lang w:val="ro-RO"/>
              </w:rPr>
            </w:pPr>
            <w:r>
              <w:rPr>
                <w:rFonts w:cs="Arial" w:eastAsiaTheme="minorEastAsia"/>
                <w:sz w:val="22"/>
                <w:lang w:val="ro-RO"/>
              </w:rPr>
              <w:t>Acces la fonduri europene și parteneriate strategice – Programe de finanțare pentru dezvoltarea infrastructurii turistice și culturale, modernizarea școlilor și promovarea patrimoniului local.</w:t>
            </w:r>
          </w:p>
          <w:p w14:paraId="1352BD98">
            <w:pPr>
              <w:numPr>
                <w:ilvl w:val="0"/>
                <w:numId w:val="36"/>
              </w:numPr>
              <w:ind w:right="122"/>
              <w:contextualSpacing/>
              <w:rPr>
                <w:rFonts w:cs="Arial" w:eastAsiaTheme="minorEastAsia"/>
                <w:sz w:val="22"/>
                <w:lang w:val="ro-RO"/>
              </w:rPr>
            </w:pPr>
            <w:r>
              <w:rPr>
                <w:rFonts w:cs="Arial" w:eastAsiaTheme="minorEastAsia"/>
                <w:sz w:val="22"/>
                <w:lang w:val="ro-RO"/>
              </w:rPr>
              <w:t>Valorificarea nișelor de turism sustenabil și educațional – Dezvoltarea turismului de eveniment, ecoturismului, turismului cultural și de aventură, cu accent pe patrimoniul local și pe implicarea tinerilor.</w:t>
            </w:r>
          </w:p>
          <w:p w14:paraId="68401D2C">
            <w:pPr>
              <w:numPr>
                <w:ilvl w:val="0"/>
                <w:numId w:val="36"/>
              </w:numPr>
              <w:ind w:right="122"/>
              <w:contextualSpacing/>
              <w:rPr>
                <w:rFonts w:cs="Arial" w:eastAsiaTheme="minorEastAsia"/>
                <w:sz w:val="22"/>
                <w:lang w:val="ro-RO"/>
              </w:rPr>
            </w:pPr>
            <w:r>
              <w:rPr>
                <w:rFonts w:cs="Arial" w:eastAsiaTheme="minorEastAsia"/>
                <w:sz w:val="22"/>
                <w:lang w:val="ro-RO"/>
              </w:rPr>
              <w:t>Promovarea digitală și marketingul turistic modern – Utilizarea platformelor online, a rețelelor sociale și a parteneriatelor cu agenții de turism pentru creșterea vizibilității comunei și atragerea de vizitatori.</w:t>
            </w:r>
          </w:p>
          <w:p w14:paraId="01F1BCB4">
            <w:pPr>
              <w:numPr>
                <w:ilvl w:val="0"/>
                <w:numId w:val="36"/>
              </w:numPr>
              <w:ind w:right="122"/>
              <w:contextualSpacing/>
              <w:rPr>
                <w:rFonts w:cs="Arial" w:eastAsiaTheme="minorEastAsia"/>
                <w:sz w:val="22"/>
                <w:lang w:val="ro-RO"/>
              </w:rPr>
            </w:pPr>
            <w:r>
              <w:rPr>
                <w:rFonts w:cs="Arial" w:eastAsiaTheme="minorEastAsia"/>
                <w:sz w:val="22"/>
                <w:lang w:val="ro-RO"/>
              </w:rPr>
              <w:t>Dezvoltarea de proiecte integrate – Legarea educației, culturii și turismului prin proiecte comune, ateliere, tabere tematice, festivaluri și evenimente care să implice întreaga comunitate și să atragă turiști.</w:t>
            </w:r>
          </w:p>
        </w:tc>
        <w:tc>
          <w:tcPr>
            <w:tcW w:w="2527" w:type="pct"/>
            <w:tcBorders>
              <w:top w:val="single" w:color="000000" w:sz="4" w:space="0"/>
              <w:left w:val="single" w:color="000000" w:sz="4" w:space="0"/>
              <w:bottom w:val="single" w:color="000000" w:sz="4" w:space="0"/>
              <w:right w:val="single" w:color="000000" w:sz="4" w:space="0"/>
            </w:tcBorders>
          </w:tcPr>
          <w:p w14:paraId="654F9D37">
            <w:pPr>
              <w:numPr>
                <w:ilvl w:val="0"/>
                <w:numId w:val="36"/>
              </w:numPr>
              <w:contextualSpacing/>
              <w:rPr>
                <w:rFonts w:cs="Arial" w:eastAsiaTheme="minorEastAsia"/>
                <w:sz w:val="22"/>
                <w:lang w:val="ro-RO"/>
              </w:rPr>
            </w:pPr>
            <w:r>
              <w:rPr>
                <w:rFonts w:cs="Arial" w:eastAsiaTheme="minorEastAsia"/>
                <w:sz w:val="22"/>
                <w:lang w:val="ro-RO"/>
              </w:rPr>
              <w:t>Depopularea și migrația tinerilor – Scăderea numărului de tineri afecta participarea la activități culturale, educaționale și turistice și reduce potențialul de inovare locală.</w:t>
            </w:r>
          </w:p>
          <w:p w14:paraId="3A4F25C4">
            <w:pPr>
              <w:numPr>
                <w:ilvl w:val="0"/>
                <w:numId w:val="36"/>
              </w:numPr>
              <w:contextualSpacing/>
              <w:rPr>
                <w:rFonts w:cs="Arial" w:eastAsiaTheme="minorEastAsia"/>
                <w:sz w:val="22"/>
                <w:lang w:val="ro-RO"/>
              </w:rPr>
            </w:pPr>
            <w:r>
              <w:rPr>
                <w:rFonts w:cs="Arial" w:eastAsiaTheme="minorEastAsia"/>
                <w:sz w:val="22"/>
                <w:lang w:val="ro-RO"/>
              </w:rPr>
              <w:t>Concurența cu alte destinații regionale – Localități din județ sau din regiune cu oferte turistice și culturale similare pot atrage mai ușor fonduri, vizitatori și investiții.</w:t>
            </w:r>
          </w:p>
          <w:p w14:paraId="0968A16E">
            <w:pPr>
              <w:numPr>
                <w:ilvl w:val="0"/>
                <w:numId w:val="36"/>
              </w:numPr>
              <w:contextualSpacing/>
              <w:rPr>
                <w:rFonts w:cs="Arial" w:eastAsiaTheme="minorEastAsia"/>
                <w:sz w:val="22"/>
                <w:lang w:val="ro-RO"/>
              </w:rPr>
            </w:pPr>
            <w:r>
              <w:rPr>
                <w:rFonts w:cs="Arial" w:eastAsiaTheme="minorEastAsia"/>
                <w:sz w:val="22"/>
                <w:lang w:val="ro-RO"/>
              </w:rPr>
              <w:t>Riscuri de degradare a patrimoniului – Lipsa resurselor pentru întreținerea și conservarea obiectivelor istorice și culturale poate duce la pierderea valorii acestora.</w:t>
            </w:r>
          </w:p>
          <w:p w14:paraId="1C28CBD0">
            <w:pPr>
              <w:numPr>
                <w:ilvl w:val="0"/>
                <w:numId w:val="36"/>
              </w:numPr>
              <w:contextualSpacing/>
              <w:rPr>
                <w:rFonts w:cs="Arial" w:eastAsiaTheme="minorEastAsia"/>
                <w:sz w:val="22"/>
                <w:lang w:val="ro-RO"/>
              </w:rPr>
            </w:pPr>
            <w:r>
              <w:rPr>
                <w:rFonts w:cs="Arial" w:eastAsiaTheme="minorEastAsia"/>
                <w:sz w:val="22"/>
                <w:lang w:val="ro-RO"/>
              </w:rPr>
              <w:t>Instabilitate legislativă și birocratică – Schimbările frecvente în politicile de finanțare, reglementările privind patrimoniul sau educația pot întârzia sau bloca proiecte importante.</w:t>
            </w:r>
          </w:p>
        </w:tc>
      </w:tr>
    </w:tbl>
    <w:p w14:paraId="4B5DC38B">
      <w:pPr>
        <w:ind w:firstLine="0"/>
        <w:rPr>
          <w:rFonts w:cs="Arial"/>
          <w:sz w:val="22"/>
          <w:lang w:val="ro-RO"/>
        </w:rPr>
      </w:pPr>
    </w:p>
    <w:tbl>
      <w:tblPr>
        <w:tblStyle w:val="12"/>
        <w:tblW w:w="5000" w:type="pct"/>
        <w:tblInd w:w="0" w:type="dxa"/>
        <w:tblLayout w:type="autofit"/>
        <w:tblCellMar>
          <w:top w:w="0" w:type="dxa"/>
          <w:left w:w="0" w:type="dxa"/>
          <w:bottom w:w="0" w:type="dxa"/>
          <w:right w:w="0" w:type="dxa"/>
        </w:tblCellMar>
      </w:tblPr>
      <w:tblGrid>
        <w:gridCol w:w="4772"/>
        <w:gridCol w:w="4877"/>
      </w:tblGrid>
      <w:tr w14:paraId="30E59E85">
        <w:tblPrEx>
          <w:tblCellMar>
            <w:top w:w="0" w:type="dxa"/>
            <w:left w:w="0" w:type="dxa"/>
            <w:bottom w:w="0" w:type="dxa"/>
            <w:right w:w="0" w:type="dxa"/>
          </w:tblCellMar>
        </w:tblPrEx>
        <w:trPr>
          <w:tblHead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0AD88EA9">
            <w:pPr>
              <w:ind w:firstLine="0"/>
              <w:jc w:val="center"/>
              <w:rPr>
                <w:rFonts w:cs="Arial" w:eastAsiaTheme="minorEastAsia"/>
                <w:b/>
                <w:sz w:val="22"/>
                <w:lang w:val="ro-RO"/>
              </w:rPr>
            </w:pPr>
            <w:r>
              <w:rPr>
                <w:rFonts w:cs="Arial" w:eastAsiaTheme="minorEastAsia"/>
                <w:sz w:val="22"/>
                <w:lang w:val="ro-RO"/>
              </w:rPr>
              <w:br w:type="page"/>
            </w:r>
            <w:bookmarkStart w:id="57" w:name="_Toc2327387"/>
            <w:bookmarkEnd w:id="57"/>
            <w:r>
              <w:rPr>
                <w:rFonts w:cs="Arial" w:eastAsiaTheme="minorEastAsia"/>
                <w:b/>
                <w:sz w:val="22"/>
                <w:lang w:val="ro-RO"/>
              </w:rPr>
              <w:t>Mediu și energie</w:t>
            </w:r>
          </w:p>
        </w:tc>
      </w:tr>
      <w:tr w14:paraId="3593687E">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vAlign w:val="center"/>
          </w:tcPr>
          <w:p w14:paraId="73FF25D6">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1E5B7490">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02004FBC">
        <w:tblPrEx>
          <w:tblCellMar>
            <w:top w:w="0" w:type="dxa"/>
            <w:left w:w="0" w:type="dxa"/>
            <w:bottom w:w="0" w:type="dxa"/>
            <w:right w:w="0" w:type="dxa"/>
          </w:tblCellMar>
        </w:tblPrEx>
        <w:trPr>
          <w:trHeight w:val="5436" w:hRule="atLeast"/>
        </w:trPr>
        <w:tc>
          <w:tcPr>
            <w:tcW w:w="2473" w:type="pct"/>
            <w:tcBorders>
              <w:top w:val="single" w:color="000000" w:sz="4" w:space="0"/>
              <w:left w:val="single" w:color="000000" w:sz="4" w:space="0"/>
              <w:right w:val="single" w:color="000000" w:sz="4" w:space="0"/>
            </w:tcBorders>
            <w:vAlign w:val="center"/>
          </w:tcPr>
          <w:p w14:paraId="64E037EA">
            <w:pPr>
              <w:numPr>
                <w:ilvl w:val="0"/>
                <w:numId w:val="36"/>
              </w:numPr>
              <w:ind w:right="122"/>
              <w:contextualSpacing/>
              <w:rPr>
                <w:rFonts w:cs="Arial" w:eastAsiaTheme="minorEastAsia"/>
                <w:sz w:val="22"/>
                <w:lang w:val="ro-RO"/>
              </w:rPr>
            </w:pPr>
            <w:r>
              <w:rPr>
                <w:rFonts w:cs="Arial" w:eastAsiaTheme="minorEastAsia"/>
                <w:sz w:val="22"/>
                <w:lang w:val="ro-RO"/>
              </w:rPr>
              <w:t>Resurse naturale diverse: Comuna dispune de păduri extinse, terenuri agricole fertile, resurse de apă (Dunărea, ape subterane) și zone protejate (ROSCI0420), ce susțin biodiversitatea și oferă oportunități pentru dezvoltare durabilă.</w:t>
            </w:r>
          </w:p>
          <w:p w14:paraId="6FF2E723">
            <w:pPr>
              <w:numPr>
                <w:ilvl w:val="0"/>
                <w:numId w:val="36"/>
              </w:numPr>
              <w:ind w:right="122"/>
              <w:contextualSpacing/>
              <w:rPr>
                <w:rFonts w:cs="Arial" w:eastAsiaTheme="minorEastAsia"/>
                <w:sz w:val="22"/>
                <w:lang w:val="ro-RO"/>
              </w:rPr>
            </w:pPr>
            <w:r>
              <w:rPr>
                <w:rFonts w:cs="Arial" w:eastAsiaTheme="minorEastAsia"/>
                <w:sz w:val="22"/>
                <w:lang w:val="ro-RO"/>
              </w:rPr>
              <w:t>Extinderea rețelei de gaze naturale: În ultimii ani, rețeaua de gaze a fost extinsă în majoritatea satelor, reducând dependența de lemne pentru încălzire și îmbunătățind calitatea vieții.</w:t>
            </w:r>
          </w:p>
          <w:p w14:paraId="6C8AE49A">
            <w:pPr>
              <w:numPr>
                <w:ilvl w:val="0"/>
                <w:numId w:val="36"/>
              </w:numPr>
              <w:ind w:right="122"/>
              <w:contextualSpacing/>
              <w:rPr>
                <w:rFonts w:cs="Arial" w:eastAsiaTheme="minorEastAsia"/>
                <w:sz w:val="22"/>
                <w:lang w:val="ro-RO"/>
              </w:rPr>
            </w:pPr>
            <w:r>
              <w:rPr>
                <w:rFonts w:cs="Arial" w:eastAsiaTheme="minorEastAsia"/>
                <w:sz w:val="22"/>
                <w:lang w:val="ro-RO"/>
              </w:rPr>
              <w:t>Inițiative de eficiență energetică: Investiții în modernizarea clădirilor publice (ex. internatul liceului nZEB), promovarea iluminatului public cu LED și proiecte de eficientizare energetică.</w:t>
            </w:r>
          </w:p>
          <w:p w14:paraId="4739ADD1">
            <w:pPr>
              <w:numPr>
                <w:ilvl w:val="0"/>
                <w:numId w:val="36"/>
              </w:numPr>
              <w:ind w:right="122"/>
              <w:contextualSpacing/>
              <w:rPr>
                <w:rFonts w:cs="Arial" w:eastAsiaTheme="minorEastAsia"/>
                <w:sz w:val="22"/>
                <w:lang w:val="ro-RO"/>
              </w:rPr>
            </w:pPr>
            <w:r>
              <w:rPr>
                <w:rFonts w:cs="Arial" w:eastAsiaTheme="minorEastAsia"/>
                <w:sz w:val="22"/>
                <w:lang w:val="ro-RO"/>
              </w:rPr>
              <w:t>Potrivit pentru energie regenerabilă: Potențial ridicat pentru dezvoltarea parcurilor fotovoltaice și a energiei verzi, datorită expunerii solare și a terenurilor disponibile.</w:t>
            </w:r>
          </w:p>
        </w:tc>
        <w:tc>
          <w:tcPr>
            <w:tcW w:w="2527" w:type="pct"/>
            <w:tcBorders>
              <w:top w:val="single" w:color="000000" w:sz="4" w:space="0"/>
              <w:left w:val="single" w:color="000000" w:sz="4" w:space="0"/>
              <w:right w:val="single" w:color="000000" w:sz="4" w:space="0"/>
            </w:tcBorders>
            <w:vAlign w:val="center"/>
          </w:tcPr>
          <w:p w14:paraId="498236FC">
            <w:pPr>
              <w:numPr>
                <w:ilvl w:val="0"/>
                <w:numId w:val="36"/>
              </w:numPr>
              <w:ind w:right="122"/>
              <w:contextualSpacing/>
              <w:rPr>
                <w:rFonts w:cs="Arial" w:eastAsiaTheme="minorEastAsia"/>
                <w:sz w:val="22"/>
                <w:lang w:val="ro-RO"/>
              </w:rPr>
            </w:pPr>
            <w:r>
              <w:rPr>
                <w:rFonts w:cs="Arial" w:eastAsiaTheme="minorEastAsia"/>
                <w:sz w:val="22"/>
                <w:lang w:val="ro-RO"/>
              </w:rPr>
              <w:t>Vulnerabilitate la riscuri naturale: Comuna este expusă frecvent la inundații, alunecări de teren, eroziune și fenomene meteo extreme, în special în zonele joase și pe malul Dunării.</w:t>
            </w:r>
          </w:p>
          <w:p w14:paraId="3E19F3CC">
            <w:pPr>
              <w:numPr>
                <w:ilvl w:val="0"/>
                <w:numId w:val="36"/>
              </w:numPr>
              <w:ind w:right="122"/>
              <w:contextualSpacing/>
              <w:rPr>
                <w:rFonts w:cs="Arial" w:eastAsiaTheme="minorEastAsia"/>
                <w:sz w:val="22"/>
                <w:lang w:val="ro-RO"/>
              </w:rPr>
            </w:pPr>
            <w:r>
              <w:rPr>
                <w:rFonts w:cs="Arial" w:eastAsiaTheme="minorEastAsia"/>
                <w:sz w:val="22"/>
                <w:lang w:val="ro-RO"/>
              </w:rPr>
              <w:t>Infrastructură de gestionare a deșeurilor insuficientă: Colectarea selectivă și reciclarea sunt la început, iar depozitarea deșeurilor menajere și agricole nu este optimizată.</w:t>
            </w:r>
          </w:p>
          <w:p w14:paraId="1458B5F1">
            <w:pPr>
              <w:numPr>
                <w:ilvl w:val="0"/>
                <w:numId w:val="36"/>
              </w:numPr>
              <w:ind w:right="122"/>
              <w:contextualSpacing/>
              <w:rPr>
                <w:rFonts w:cs="Arial" w:eastAsiaTheme="minorEastAsia"/>
                <w:sz w:val="22"/>
                <w:lang w:val="ro-RO"/>
              </w:rPr>
            </w:pPr>
            <w:r>
              <w:rPr>
                <w:rFonts w:cs="Arial" w:eastAsiaTheme="minorEastAsia"/>
                <w:sz w:val="22"/>
                <w:lang w:val="ro-RO"/>
              </w:rPr>
              <w:t>Dependință parțială de surse tradiționale de energie: O parte semnificativă a gospodăriilor utilizează încă lemne pentru încălzire, ceea ce contribuie la poluare și defrișare.</w:t>
            </w:r>
          </w:p>
          <w:p w14:paraId="5AB8E399">
            <w:pPr>
              <w:numPr>
                <w:ilvl w:val="0"/>
                <w:numId w:val="36"/>
              </w:numPr>
              <w:ind w:right="122"/>
              <w:contextualSpacing/>
              <w:rPr>
                <w:rFonts w:cs="Arial" w:eastAsiaTheme="minorEastAsia"/>
                <w:sz w:val="22"/>
                <w:lang w:val="ro-RO"/>
              </w:rPr>
            </w:pPr>
            <w:r>
              <w:rPr>
                <w:rFonts w:cs="Arial" w:eastAsiaTheme="minorEastAsia"/>
                <w:sz w:val="22"/>
                <w:lang w:val="ro-RO"/>
              </w:rPr>
              <w:t>Lipsa unor sisteme moderne de monitorizare a mediului: Nu există suficiente stații de monitorizare a calității aerului, apei și solului la nivel local.</w:t>
            </w:r>
          </w:p>
        </w:tc>
      </w:tr>
      <w:tr w14:paraId="0DD3498E">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60FF8908">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4638D86B">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52A6F7EB">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7F8102EC">
            <w:pPr>
              <w:numPr>
                <w:ilvl w:val="0"/>
                <w:numId w:val="34"/>
              </w:numPr>
              <w:ind w:right="122"/>
              <w:contextualSpacing/>
              <w:rPr>
                <w:rFonts w:cs="Arial" w:eastAsiaTheme="minorEastAsia"/>
                <w:sz w:val="22"/>
                <w:lang w:val="ro-RO"/>
              </w:rPr>
            </w:pPr>
            <w:r>
              <w:rPr>
                <w:rFonts w:cs="Arial" w:eastAsiaTheme="minorEastAsia"/>
                <w:sz w:val="22"/>
                <w:lang w:val="ro-RO"/>
              </w:rPr>
              <w:t>Acces la fonduri europene pentru tranziția verde: Programele UE și PNRR pot finanța proiecte de energie regenerabilă, eficiență energetică, gestionare a deșeurilor și infrastructură verde.</w:t>
            </w:r>
          </w:p>
          <w:p w14:paraId="135A0F53">
            <w:pPr>
              <w:numPr>
                <w:ilvl w:val="0"/>
                <w:numId w:val="34"/>
              </w:numPr>
              <w:ind w:right="122"/>
              <w:contextualSpacing/>
              <w:rPr>
                <w:rFonts w:cs="Arial" w:eastAsiaTheme="minorEastAsia"/>
                <w:sz w:val="22"/>
                <w:lang w:val="ro-RO"/>
              </w:rPr>
            </w:pPr>
            <w:r>
              <w:rPr>
                <w:rFonts w:cs="Arial" w:eastAsiaTheme="minorEastAsia"/>
                <w:sz w:val="22"/>
                <w:lang w:val="ro-RO"/>
              </w:rPr>
              <w:t>Dezvoltarea parcurilor fotovoltaice și a energiei verzi: Investițiile în energie solară și alte surse regenerabile pot genera locuri de muncă și venituri suplimentare pentru comunitate.</w:t>
            </w:r>
          </w:p>
          <w:p w14:paraId="010A92BC">
            <w:pPr>
              <w:numPr>
                <w:ilvl w:val="0"/>
                <w:numId w:val="34"/>
              </w:numPr>
              <w:ind w:right="122"/>
              <w:contextualSpacing/>
              <w:rPr>
                <w:rFonts w:cs="Arial" w:eastAsiaTheme="minorEastAsia"/>
                <w:sz w:val="22"/>
                <w:lang w:val="ro-RO"/>
              </w:rPr>
            </w:pPr>
            <w:r>
              <w:rPr>
                <w:rFonts w:cs="Arial" w:eastAsiaTheme="minorEastAsia"/>
                <w:sz w:val="22"/>
                <w:lang w:val="ro-RO"/>
              </w:rPr>
              <w:t>Educație și conștientizare ecologică: Proiecte de informare și implicare a populației în protecția mediului, reciclare și utilizarea responsabilă a resurselor.</w:t>
            </w:r>
          </w:p>
          <w:p w14:paraId="113F18F3">
            <w:pPr>
              <w:numPr>
                <w:ilvl w:val="0"/>
                <w:numId w:val="34"/>
              </w:numPr>
              <w:ind w:right="122"/>
              <w:contextualSpacing/>
              <w:rPr>
                <w:rFonts w:cs="Arial" w:eastAsiaTheme="minorEastAsia"/>
                <w:sz w:val="22"/>
                <w:lang w:val="ro-RO"/>
              </w:rPr>
            </w:pPr>
            <w:r>
              <w:rPr>
                <w:rFonts w:cs="Arial" w:eastAsiaTheme="minorEastAsia"/>
                <w:sz w:val="22"/>
                <w:lang w:val="ro-RO"/>
              </w:rPr>
              <w:t>Parteneriate pentru conservarea biodiversității: Colaborarea cu ONG-uri, universități și autorități pentru protejarea zonelor naturale și dezvoltarea ecoturismului.</w:t>
            </w:r>
          </w:p>
        </w:tc>
        <w:tc>
          <w:tcPr>
            <w:tcW w:w="2527" w:type="pct"/>
            <w:tcBorders>
              <w:top w:val="single" w:color="000000" w:sz="4" w:space="0"/>
              <w:left w:val="single" w:color="000000" w:sz="4" w:space="0"/>
              <w:bottom w:val="single" w:color="000000" w:sz="4" w:space="0"/>
              <w:right w:val="single" w:color="000000" w:sz="4" w:space="0"/>
            </w:tcBorders>
          </w:tcPr>
          <w:p w14:paraId="0987DD37">
            <w:pPr>
              <w:numPr>
                <w:ilvl w:val="0"/>
                <w:numId w:val="35"/>
              </w:numPr>
              <w:tabs>
                <w:tab w:val="left" w:pos="284"/>
              </w:tabs>
              <w:rPr>
                <w:rFonts w:eastAsia="Verdana" w:cs="Arial"/>
                <w:bCs/>
                <w:spacing w:val="1"/>
                <w:sz w:val="22"/>
                <w:lang w:val="ro-RO"/>
              </w:rPr>
            </w:pPr>
            <w:r>
              <w:rPr>
                <w:rFonts w:eastAsia="Verdana" w:cs="Arial"/>
                <w:bCs/>
                <w:spacing w:val="1"/>
                <w:sz w:val="22"/>
                <w:lang w:val="ro-RO"/>
              </w:rPr>
              <w:t>Schimbări climatice accelerate: Creșterea frecvenței fenomenelor extreme (secetă, inundații, caniculă) poate afecta agricultura, infrastructura și siguranța populației.</w:t>
            </w:r>
          </w:p>
          <w:p w14:paraId="3C3E3164">
            <w:pPr>
              <w:numPr>
                <w:ilvl w:val="0"/>
                <w:numId w:val="35"/>
              </w:numPr>
              <w:tabs>
                <w:tab w:val="left" w:pos="284"/>
              </w:tabs>
              <w:rPr>
                <w:rFonts w:eastAsia="Verdana" w:cs="Arial"/>
                <w:bCs/>
                <w:spacing w:val="1"/>
                <w:sz w:val="22"/>
                <w:lang w:val="ro-RO"/>
              </w:rPr>
            </w:pPr>
            <w:r>
              <w:rPr>
                <w:rFonts w:eastAsia="Verdana" w:cs="Arial"/>
                <w:bCs/>
                <w:spacing w:val="1"/>
                <w:sz w:val="22"/>
                <w:lang w:val="ro-RO"/>
              </w:rPr>
              <w:t>Poluare accidentală și riscuri industriale: Posibile incidente pe Dunăre (scurgeri de substanțe, poluare cu uleiuri), poluare agricolă și defrișări ilegale.</w:t>
            </w:r>
          </w:p>
          <w:p w14:paraId="38F99BD3">
            <w:pPr>
              <w:numPr>
                <w:ilvl w:val="0"/>
                <w:numId w:val="35"/>
              </w:numPr>
              <w:tabs>
                <w:tab w:val="left" w:pos="284"/>
              </w:tabs>
              <w:rPr>
                <w:rFonts w:eastAsia="Verdana" w:cs="Arial"/>
                <w:bCs/>
                <w:spacing w:val="1"/>
                <w:sz w:val="22"/>
                <w:lang w:val="ro-RO"/>
              </w:rPr>
            </w:pPr>
            <w:r>
              <w:rPr>
                <w:rFonts w:eastAsia="Verdana" w:cs="Arial"/>
                <w:bCs/>
                <w:spacing w:val="1"/>
                <w:sz w:val="22"/>
                <w:lang w:val="ro-RO"/>
              </w:rPr>
              <w:t>Întârzieri în implementarea proiectelor de mediu: Birocrația, lipsa cofinanțării sau a capacității administrative pot bloca sau întârzia investițiile verzi.</w:t>
            </w:r>
          </w:p>
          <w:p w14:paraId="6D64E4B5">
            <w:pPr>
              <w:numPr>
                <w:ilvl w:val="0"/>
                <w:numId w:val="35"/>
              </w:numPr>
              <w:tabs>
                <w:tab w:val="left" w:pos="284"/>
              </w:tabs>
              <w:rPr>
                <w:rFonts w:eastAsia="Verdana" w:cs="Arial"/>
                <w:b/>
                <w:spacing w:val="1"/>
                <w:sz w:val="22"/>
                <w:lang w:val="ro-RO"/>
              </w:rPr>
            </w:pPr>
            <w:r>
              <w:rPr>
                <w:rFonts w:eastAsia="Verdana" w:cs="Arial"/>
                <w:bCs/>
                <w:spacing w:val="1"/>
                <w:sz w:val="22"/>
                <w:lang w:val="ro-RO"/>
              </w:rPr>
              <w:t>Presiune pe resursele naturale: Creșterea cererii de lemn, apă sau terenuri agricole poate duce la supraexploatare și degradarea mediului.</w:t>
            </w:r>
          </w:p>
        </w:tc>
      </w:tr>
    </w:tbl>
    <w:p w14:paraId="0633C350">
      <w:pPr>
        <w:ind w:firstLine="0"/>
        <w:rPr>
          <w:rFonts w:cs="Arial"/>
          <w:sz w:val="22"/>
          <w:lang w:val="ro-RO"/>
        </w:rPr>
      </w:pPr>
    </w:p>
    <w:tbl>
      <w:tblPr>
        <w:tblStyle w:val="12"/>
        <w:tblW w:w="5000" w:type="pct"/>
        <w:tblInd w:w="0" w:type="dxa"/>
        <w:tblLayout w:type="autofit"/>
        <w:tblCellMar>
          <w:top w:w="0" w:type="dxa"/>
          <w:left w:w="0" w:type="dxa"/>
          <w:bottom w:w="0" w:type="dxa"/>
          <w:right w:w="0" w:type="dxa"/>
        </w:tblCellMar>
      </w:tblPr>
      <w:tblGrid>
        <w:gridCol w:w="4772"/>
        <w:gridCol w:w="4877"/>
      </w:tblGrid>
      <w:tr w14:paraId="7A958F56">
        <w:trPr>
          <w:tblHead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14:paraId="5932528B">
            <w:pPr>
              <w:ind w:firstLine="0"/>
              <w:jc w:val="center"/>
              <w:rPr>
                <w:rFonts w:cs="Arial" w:eastAsiaTheme="minorEastAsia"/>
                <w:b/>
                <w:sz w:val="22"/>
                <w:lang w:val="ro-RO"/>
              </w:rPr>
            </w:pPr>
            <w:r>
              <w:rPr>
                <w:rFonts w:cs="Arial" w:eastAsiaTheme="minorEastAsia"/>
                <w:sz w:val="22"/>
                <w:lang w:val="ro-RO"/>
              </w:rPr>
              <w:br w:type="page"/>
            </w:r>
            <w:r>
              <w:rPr>
                <w:rFonts w:cs="Arial" w:eastAsiaTheme="minorEastAsia"/>
                <w:b/>
                <w:sz w:val="22"/>
                <w:lang w:val="ro-RO"/>
              </w:rPr>
              <w:t>Resurse umane</w:t>
            </w:r>
          </w:p>
        </w:tc>
      </w:tr>
      <w:tr w14:paraId="2C84D367">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vAlign w:val="center"/>
          </w:tcPr>
          <w:p w14:paraId="56A8C536">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T</w:t>
            </w:r>
            <w:r>
              <w:rPr>
                <w:rFonts w:eastAsia="Verdana" w:cs="Arial"/>
                <w:b/>
                <w:spacing w:val="1"/>
                <w:sz w:val="22"/>
                <w:lang w:val="ro-RO"/>
              </w:rPr>
              <w:t>A</w:t>
            </w:r>
            <w:r>
              <w:rPr>
                <w:rFonts w:eastAsia="Verdana" w:cs="Arial"/>
                <w:b/>
                <w:sz w:val="22"/>
                <w:lang w:val="ro-RO"/>
              </w:rPr>
              <w:t>RI</w:t>
            </w:r>
          </w:p>
        </w:tc>
        <w:tc>
          <w:tcPr>
            <w:tcW w:w="2527" w:type="pct"/>
            <w:tcBorders>
              <w:top w:val="single" w:color="000000" w:sz="4" w:space="0"/>
              <w:left w:val="single" w:color="000000" w:sz="4" w:space="0"/>
              <w:bottom w:val="single" w:color="000000" w:sz="4" w:space="0"/>
              <w:right w:val="single" w:color="000000" w:sz="4" w:space="0"/>
            </w:tcBorders>
            <w:vAlign w:val="center"/>
          </w:tcPr>
          <w:p w14:paraId="23A282E8">
            <w:pPr>
              <w:tabs>
                <w:tab w:val="left" w:pos="284"/>
              </w:tabs>
              <w:ind w:firstLine="0"/>
              <w:jc w:val="center"/>
              <w:rPr>
                <w:rFonts w:eastAsia="Verdana" w:cs="Arial"/>
                <w:sz w:val="22"/>
                <w:lang w:val="ro-RO"/>
              </w:rPr>
            </w:pPr>
            <w:r>
              <w:rPr>
                <w:rFonts w:eastAsia="Verdana" w:cs="Arial"/>
                <w:b/>
                <w:spacing w:val="-1"/>
                <w:sz w:val="22"/>
                <w:lang w:val="ro-RO"/>
              </w:rPr>
              <w:t>P</w:t>
            </w:r>
            <w:r>
              <w:rPr>
                <w:rFonts w:eastAsia="Verdana" w:cs="Arial"/>
                <w:b/>
                <w:sz w:val="22"/>
                <w:lang w:val="ro-RO"/>
              </w:rPr>
              <w:t>U</w:t>
            </w:r>
            <w:r>
              <w:rPr>
                <w:rFonts w:eastAsia="Verdana" w:cs="Arial"/>
                <w:b/>
                <w:spacing w:val="1"/>
                <w:sz w:val="22"/>
                <w:lang w:val="ro-RO"/>
              </w:rPr>
              <w:t>N</w:t>
            </w:r>
            <w:r>
              <w:rPr>
                <w:rFonts w:eastAsia="Verdana" w:cs="Arial"/>
                <w:b/>
                <w:spacing w:val="-1"/>
                <w:sz w:val="22"/>
                <w:lang w:val="ro-RO"/>
              </w:rPr>
              <w:t>C</w:t>
            </w:r>
            <w:r>
              <w:rPr>
                <w:rFonts w:eastAsia="Verdana" w:cs="Arial"/>
                <w:b/>
                <w:sz w:val="22"/>
                <w:lang w:val="ro-RO"/>
              </w:rPr>
              <w:t>TE</w:t>
            </w:r>
            <w:r>
              <w:rPr>
                <w:rFonts w:eastAsia="Verdana" w:cs="Arial"/>
                <w:b/>
                <w:spacing w:val="-1"/>
                <w:sz w:val="22"/>
                <w:lang w:val="ro-RO"/>
              </w:rPr>
              <w:t xml:space="preserve"> </w:t>
            </w:r>
            <w:r>
              <w:rPr>
                <w:rFonts w:eastAsia="Verdana" w:cs="Arial"/>
                <w:b/>
                <w:sz w:val="22"/>
                <w:lang w:val="ro-RO"/>
              </w:rPr>
              <w:t>S</w:t>
            </w:r>
            <w:r>
              <w:rPr>
                <w:rFonts w:eastAsia="Verdana" w:cs="Arial"/>
                <w:b/>
                <w:spacing w:val="1"/>
                <w:sz w:val="22"/>
                <w:lang w:val="ro-RO"/>
              </w:rPr>
              <w:t>LA</w:t>
            </w:r>
            <w:r>
              <w:rPr>
                <w:rFonts w:eastAsia="Verdana" w:cs="Arial"/>
                <w:b/>
                <w:sz w:val="22"/>
                <w:lang w:val="ro-RO"/>
              </w:rPr>
              <w:t>BE</w:t>
            </w:r>
          </w:p>
        </w:tc>
      </w:tr>
      <w:tr w14:paraId="3FCBF1DD">
        <w:tblPrEx>
          <w:tblCellMar>
            <w:top w:w="0" w:type="dxa"/>
            <w:left w:w="0" w:type="dxa"/>
            <w:bottom w:w="0" w:type="dxa"/>
            <w:right w:w="0" w:type="dxa"/>
          </w:tblCellMar>
        </w:tblPrEx>
        <w:trPr>
          <w:trHeight w:val="1095" w:hRule="atLeast"/>
        </w:trPr>
        <w:tc>
          <w:tcPr>
            <w:tcW w:w="2473" w:type="pct"/>
            <w:tcBorders>
              <w:top w:val="single" w:color="000000" w:sz="4" w:space="0"/>
              <w:left w:val="single" w:color="000000" w:sz="4" w:space="0"/>
              <w:right w:val="single" w:color="000000" w:sz="4" w:space="0"/>
            </w:tcBorders>
            <w:vAlign w:val="center"/>
          </w:tcPr>
          <w:p w14:paraId="39BE9130">
            <w:pPr>
              <w:numPr>
                <w:ilvl w:val="0"/>
                <w:numId w:val="34"/>
              </w:numPr>
              <w:ind w:right="122"/>
              <w:contextualSpacing/>
              <w:rPr>
                <w:rFonts w:cs="Arial" w:eastAsiaTheme="minorEastAsia"/>
                <w:sz w:val="22"/>
                <w:lang w:val="ro-RO"/>
              </w:rPr>
            </w:pPr>
            <w:r>
              <w:rPr>
                <w:rFonts w:cs="Arial" w:eastAsiaTheme="minorEastAsia"/>
                <w:sz w:val="22"/>
                <w:lang w:val="ro-RO"/>
              </w:rPr>
              <w:t>Populație tânără și activă: Comuna are o structură demografică relativ tânără comparativ cu alte zone rurale, cu o rată semnificativă a populației active.</w:t>
            </w:r>
          </w:p>
          <w:p w14:paraId="3710B3CF">
            <w:pPr>
              <w:numPr>
                <w:ilvl w:val="0"/>
                <w:numId w:val="34"/>
              </w:numPr>
              <w:ind w:right="122"/>
              <w:contextualSpacing/>
              <w:rPr>
                <w:rFonts w:cs="Arial" w:eastAsiaTheme="minorEastAsia"/>
                <w:sz w:val="22"/>
                <w:lang w:val="ro-RO"/>
              </w:rPr>
            </w:pPr>
            <w:r>
              <w:rPr>
                <w:rFonts w:cs="Arial" w:eastAsiaTheme="minorEastAsia"/>
                <w:sz w:val="22"/>
                <w:lang w:val="ro-RO"/>
              </w:rPr>
              <w:t xml:space="preserve">Experiență diversificată în agricultură și servicii: Existența unei forțe de muncă cu experiență în agricultură, comerț, servicii, construcții și </w:t>
            </w:r>
          </w:p>
          <w:p w14:paraId="458838C2">
            <w:pPr>
              <w:ind w:right="122" w:firstLine="0"/>
              <w:contextualSpacing/>
              <w:rPr>
                <w:rFonts w:cs="Arial" w:eastAsiaTheme="minorEastAsia"/>
                <w:sz w:val="22"/>
                <w:lang w:val="ro-RO"/>
              </w:rPr>
            </w:pPr>
          </w:p>
        </w:tc>
        <w:tc>
          <w:tcPr>
            <w:tcW w:w="2527" w:type="pct"/>
            <w:tcBorders>
              <w:top w:val="single" w:color="000000" w:sz="4" w:space="0"/>
              <w:left w:val="single" w:color="000000" w:sz="4" w:space="0"/>
              <w:right w:val="single" w:color="000000" w:sz="4" w:space="0"/>
            </w:tcBorders>
            <w:vAlign w:val="center"/>
          </w:tcPr>
          <w:p w14:paraId="1D20AE40">
            <w:pPr>
              <w:numPr>
                <w:ilvl w:val="0"/>
                <w:numId w:val="34"/>
              </w:numPr>
              <w:ind w:right="122"/>
              <w:contextualSpacing/>
              <w:rPr>
                <w:rFonts w:cs="Arial" w:eastAsiaTheme="minorEastAsia"/>
                <w:sz w:val="22"/>
                <w:lang w:val="ro-RO"/>
              </w:rPr>
            </w:pPr>
            <w:r>
              <w:rPr>
                <w:rFonts w:cs="Arial" w:eastAsiaTheme="minorEastAsia"/>
                <w:sz w:val="22"/>
                <w:lang w:val="ro-RO"/>
              </w:rPr>
              <w:t>Migrația tinerilor către orașe sau în străinătate: Scăderea demografică a grupurilor de vârstă tânără duce la lipsa forței de muncă calificate și la îmbătrânirea populației.</w:t>
            </w:r>
          </w:p>
          <w:p w14:paraId="27E57599">
            <w:pPr>
              <w:numPr>
                <w:ilvl w:val="0"/>
                <w:numId w:val="34"/>
              </w:numPr>
              <w:ind w:right="122"/>
              <w:contextualSpacing/>
              <w:rPr>
                <w:rFonts w:cs="Arial" w:eastAsiaTheme="minorEastAsia"/>
                <w:sz w:val="22"/>
                <w:lang w:val="ro-RO"/>
              </w:rPr>
            </w:pPr>
            <w:r>
              <w:rPr>
                <w:rFonts w:cs="Arial" w:eastAsiaTheme="minorEastAsia"/>
                <w:sz w:val="22"/>
                <w:lang w:val="ro-RO"/>
              </w:rPr>
              <w:t>Acces limitat la servicii de formare continuă: Oferta redusă de cursuri de calificare, recalificare și formare profesională la nivel local.</w:t>
            </w:r>
          </w:p>
          <w:p w14:paraId="5A3C943A">
            <w:pPr>
              <w:numPr>
                <w:ilvl w:val="0"/>
                <w:numId w:val="34"/>
              </w:numPr>
              <w:ind w:right="122"/>
              <w:contextualSpacing/>
              <w:rPr>
                <w:rFonts w:cs="Arial" w:eastAsiaTheme="minorEastAsia"/>
                <w:sz w:val="22"/>
                <w:lang w:val="ro-RO"/>
              </w:rPr>
            </w:pPr>
            <w:r>
              <w:rPr>
                <w:rFonts w:cs="Arial" w:eastAsiaTheme="minorEastAsia"/>
                <w:sz w:val="22"/>
                <w:lang w:val="ro-RO"/>
              </w:rPr>
              <w:t>Dependență de agricultura tradițională: O mare parte a populației active este angajată în agricultură de subzistență, cu oportunități limitate de dezvoltare profesională în alte sectoare.</w:t>
            </w:r>
          </w:p>
          <w:p w14:paraId="68DB4AA8">
            <w:pPr>
              <w:ind w:left="360" w:right="122" w:firstLine="0"/>
              <w:contextualSpacing/>
              <w:rPr>
                <w:rFonts w:cs="Arial" w:eastAsiaTheme="minorEastAsia"/>
                <w:sz w:val="22"/>
                <w:lang w:val="ro-RO"/>
              </w:rPr>
            </w:pPr>
          </w:p>
        </w:tc>
      </w:tr>
      <w:tr w14:paraId="52A99849">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0E0A752B">
            <w:pPr>
              <w:tabs>
                <w:tab w:val="left" w:pos="284"/>
              </w:tabs>
              <w:ind w:left="102" w:firstLine="0"/>
              <w:jc w:val="center"/>
              <w:rPr>
                <w:rFonts w:eastAsia="Verdana" w:cs="Arial"/>
                <w:sz w:val="22"/>
                <w:lang w:val="ro-RO"/>
              </w:rPr>
            </w:pPr>
            <w:r>
              <w:rPr>
                <w:rFonts w:eastAsia="Verdana" w:cs="Arial"/>
                <w:b/>
                <w:position w:val="-1"/>
                <w:sz w:val="22"/>
                <w:lang w:val="ro-RO"/>
              </w:rPr>
              <w:t>O</w:t>
            </w:r>
            <w:r>
              <w:rPr>
                <w:rFonts w:eastAsia="Verdana" w:cs="Arial"/>
                <w:b/>
                <w:spacing w:val="-1"/>
                <w:position w:val="-1"/>
                <w:sz w:val="22"/>
                <w:lang w:val="ro-RO"/>
              </w:rPr>
              <w:t>P</w:t>
            </w:r>
            <w:r>
              <w:rPr>
                <w:rFonts w:eastAsia="Verdana" w:cs="Arial"/>
                <w:b/>
                <w:position w:val="-1"/>
                <w:sz w:val="22"/>
                <w:lang w:val="ro-RO"/>
              </w:rPr>
              <w:t>ORTU</w:t>
            </w:r>
            <w:r>
              <w:rPr>
                <w:rFonts w:eastAsia="Verdana" w:cs="Arial"/>
                <w:b/>
                <w:spacing w:val="1"/>
                <w:position w:val="-1"/>
                <w:sz w:val="22"/>
                <w:lang w:val="ro-RO"/>
              </w:rPr>
              <w:t>NI</w:t>
            </w:r>
            <w:r>
              <w:rPr>
                <w:rFonts w:eastAsia="Verdana" w:cs="Arial"/>
                <w:b/>
                <w:position w:val="-1"/>
                <w:sz w:val="22"/>
                <w:lang w:val="ro-RO"/>
              </w:rPr>
              <w:t>TĂȚI</w:t>
            </w:r>
          </w:p>
        </w:tc>
        <w:tc>
          <w:tcPr>
            <w:tcW w:w="2527" w:type="pct"/>
            <w:tcBorders>
              <w:top w:val="single" w:color="000000" w:sz="4" w:space="0"/>
              <w:left w:val="single" w:color="000000" w:sz="4" w:space="0"/>
              <w:bottom w:val="single" w:color="000000" w:sz="4" w:space="0"/>
              <w:right w:val="single" w:color="000000" w:sz="4" w:space="0"/>
            </w:tcBorders>
          </w:tcPr>
          <w:p w14:paraId="423DA9D8">
            <w:pPr>
              <w:tabs>
                <w:tab w:val="left" w:pos="284"/>
              </w:tabs>
              <w:ind w:left="102" w:firstLine="0"/>
              <w:jc w:val="center"/>
              <w:rPr>
                <w:rFonts w:eastAsia="Verdana" w:cs="Arial"/>
                <w:sz w:val="22"/>
                <w:lang w:val="ro-RO"/>
              </w:rPr>
            </w:pPr>
            <w:r>
              <w:rPr>
                <w:rFonts w:eastAsia="Verdana" w:cs="Arial"/>
                <w:b/>
                <w:spacing w:val="1"/>
                <w:sz w:val="22"/>
                <w:lang w:val="ro-RO"/>
              </w:rPr>
              <w:t>A</w:t>
            </w:r>
            <w:r>
              <w:rPr>
                <w:rFonts w:eastAsia="Verdana" w:cs="Arial"/>
                <w:b/>
                <w:sz w:val="22"/>
                <w:lang w:val="ro-RO"/>
              </w:rPr>
              <w:t>M</w:t>
            </w:r>
            <w:r>
              <w:rPr>
                <w:rFonts w:eastAsia="Verdana" w:cs="Arial"/>
                <w:b/>
                <w:spacing w:val="-1"/>
                <w:sz w:val="22"/>
                <w:lang w:val="ro-RO"/>
              </w:rPr>
              <w:t>E</w:t>
            </w:r>
            <w:r>
              <w:rPr>
                <w:rFonts w:eastAsia="Verdana" w:cs="Arial"/>
                <w:b/>
                <w:spacing w:val="1"/>
                <w:sz w:val="22"/>
                <w:lang w:val="ro-RO"/>
              </w:rPr>
              <w:t>NIN</w:t>
            </w:r>
            <w:r>
              <w:rPr>
                <w:rFonts w:eastAsia="Verdana" w:cs="Arial"/>
                <w:b/>
                <w:spacing w:val="-3"/>
                <w:sz w:val="22"/>
                <w:lang w:val="ro-RO"/>
              </w:rPr>
              <w:t>ȚĂRI</w:t>
            </w:r>
          </w:p>
        </w:tc>
      </w:tr>
      <w:tr w14:paraId="1EB6F750">
        <w:tblPrEx>
          <w:tblCellMar>
            <w:top w:w="0" w:type="dxa"/>
            <w:left w:w="0" w:type="dxa"/>
            <w:bottom w:w="0" w:type="dxa"/>
            <w:right w:w="0" w:type="dxa"/>
          </w:tblCellMar>
        </w:tblPrEx>
        <w:tc>
          <w:tcPr>
            <w:tcW w:w="2473" w:type="pct"/>
            <w:tcBorders>
              <w:top w:val="single" w:color="000000" w:sz="4" w:space="0"/>
              <w:left w:val="single" w:color="000000" w:sz="4" w:space="0"/>
              <w:bottom w:val="single" w:color="000000" w:sz="4" w:space="0"/>
              <w:right w:val="single" w:color="000000" w:sz="4" w:space="0"/>
            </w:tcBorders>
          </w:tcPr>
          <w:p w14:paraId="3B25B45B">
            <w:pPr>
              <w:numPr>
                <w:ilvl w:val="0"/>
                <w:numId w:val="34"/>
              </w:numPr>
              <w:ind w:right="122"/>
              <w:contextualSpacing/>
              <w:rPr>
                <w:rFonts w:cs="Arial" w:eastAsiaTheme="minorEastAsia"/>
                <w:sz w:val="22"/>
                <w:lang w:val="ro-RO"/>
              </w:rPr>
            </w:pPr>
            <w:r>
              <w:rPr>
                <w:rFonts w:cs="Arial" w:eastAsiaTheme="minorEastAsia"/>
                <w:sz w:val="22"/>
                <w:lang w:val="ro-RO"/>
              </w:rPr>
              <w:t>Acces la fonduri europene pentru formare profesională: Programe de finanțare pentru cursuri de calificare, recalificare și sprijinirea antreprenoriatului tinerilor.</w:t>
            </w:r>
          </w:p>
          <w:p w14:paraId="3084E026">
            <w:pPr>
              <w:numPr>
                <w:ilvl w:val="0"/>
                <w:numId w:val="34"/>
              </w:numPr>
              <w:ind w:right="122"/>
              <w:contextualSpacing/>
              <w:rPr>
                <w:rFonts w:cs="Arial" w:eastAsiaTheme="minorEastAsia"/>
                <w:sz w:val="22"/>
                <w:lang w:val="ro-RO"/>
              </w:rPr>
            </w:pPr>
            <w:r>
              <w:rPr>
                <w:rFonts w:cs="Arial" w:eastAsiaTheme="minorEastAsia"/>
                <w:sz w:val="22"/>
                <w:lang w:val="ro-RO"/>
              </w:rPr>
              <w:t>Dezvoltarea de noi sectoare economice (turism, energie verde, digitalizare): Crearea de noi locuri de muncă și oportunități de angajare în sectoare moderne.</w:t>
            </w:r>
          </w:p>
          <w:p w14:paraId="58602779">
            <w:pPr>
              <w:numPr>
                <w:ilvl w:val="0"/>
                <w:numId w:val="34"/>
              </w:numPr>
              <w:ind w:right="122"/>
              <w:contextualSpacing/>
              <w:rPr>
                <w:rFonts w:cs="Arial" w:eastAsiaTheme="minorEastAsia"/>
                <w:sz w:val="22"/>
                <w:lang w:val="ro-RO"/>
              </w:rPr>
            </w:pPr>
            <w:r>
              <w:rPr>
                <w:rFonts w:cs="Arial" w:eastAsiaTheme="minorEastAsia"/>
                <w:sz w:val="22"/>
                <w:lang w:val="ro-RO"/>
              </w:rPr>
              <w:t>Promovarea implicării femeilor și tinerilor în economie: Inițiative de sprijinire a antreprenoriatului feminin și al tinerilor, pentru creșterea participării lor pe piața muncii.</w:t>
            </w:r>
          </w:p>
        </w:tc>
        <w:tc>
          <w:tcPr>
            <w:tcW w:w="2527" w:type="pct"/>
            <w:tcBorders>
              <w:top w:val="single" w:color="000000" w:sz="4" w:space="0"/>
              <w:left w:val="single" w:color="000000" w:sz="4" w:space="0"/>
              <w:bottom w:val="single" w:color="000000" w:sz="4" w:space="0"/>
              <w:right w:val="single" w:color="000000" w:sz="4" w:space="0"/>
            </w:tcBorders>
          </w:tcPr>
          <w:p w14:paraId="63978363">
            <w:pPr>
              <w:numPr>
                <w:ilvl w:val="0"/>
                <w:numId w:val="35"/>
              </w:numPr>
              <w:tabs>
                <w:tab w:val="left" w:pos="284"/>
              </w:tabs>
              <w:rPr>
                <w:rFonts w:eastAsia="Verdana" w:cs="Arial"/>
                <w:bCs/>
                <w:spacing w:val="1"/>
                <w:sz w:val="22"/>
                <w:lang w:val="ro-RO"/>
              </w:rPr>
            </w:pPr>
            <w:r>
              <w:rPr>
                <w:rFonts w:eastAsia="Verdana" w:cs="Arial"/>
                <w:bCs/>
                <w:spacing w:val="1"/>
                <w:sz w:val="22"/>
                <w:lang w:val="ro-RO"/>
              </w:rPr>
              <w:t>Depopularea și îmbătrânirea populației: Migrația tinerilor și scăderea natalității pot duce la lipsa forței de muncă și la scăderea vitalității comunității.</w:t>
            </w:r>
          </w:p>
          <w:p w14:paraId="46986B38">
            <w:pPr>
              <w:numPr>
                <w:ilvl w:val="0"/>
                <w:numId w:val="35"/>
              </w:numPr>
              <w:tabs>
                <w:tab w:val="left" w:pos="284"/>
              </w:tabs>
              <w:rPr>
                <w:rFonts w:eastAsia="Verdana" w:cs="Arial"/>
                <w:bCs/>
                <w:spacing w:val="1"/>
                <w:sz w:val="22"/>
                <w:lang w:val="ro-RO"/>
              </w:rPr>
            </w:pPr>
            <w:r>
              <w:rPr>
                <w:rFonts w:eastAsia="Verdana" w:cs="Arial"/>
                <w:bCs/>
                <w:spacing w:val="1"/>
                <w:sz w:val="22"/>
                <w:lang w:val="ro-RO"/>
              </w:rPr>
              <w:t>Concurența cu alte localități pentru resursele umane: Alte orașe sau comune din zonă pot oferi salarii mai mari și mai multe oportunități, atrăgând forța de muncă locală.</w:t>
            </w:r>
          </w:p>
          <w:p w14:paraId="60561FA7">
            <w:pPr>
              <w:numPr>
                <w:ilvl w:val="0"/>
                <w:numId w:val="35"/>
              </w:numPr>
              <w:tabs>
                <w:tab w:val="left" w:pos="284"/>
              </w:tabs>
              <w:rPr>
                <w:rFonts w:eastAsia="Verdana" w:cs="Arial"/>
                <w:bCs/>
                <w:spacing w:val="1"/>
                <w:sz w:val="22"/>
                <w:lang w:val="ro-RO"/>
              </w:rPr>
            </w:pPr>
            <w:r>
              <w:rPr>
                <w:rFonts w:eastAsia="Verdana" w:cs="Arial"/>
                <w:bCs/>
                <w:spacing w:val="1"/>
                <w:sz w:val="22"/>
                <w:lang w:val="ro-RO"/>
              </w:rPr>
              <w:t>Schimbări pe piața muncii: Cerințe noi de calificare, digitalizare și adaptare la tehnologii moderne pot exclude o parte din populația activă.</w:t>
            </w:r>
          </w:p>
          <w:p w14:paraId="59D014B3">
            <w:pPr>
              <w:numPr>
                <w:ilvl w:val="0"/>
                <w:numId w:val="35"/>
              </w:numPr>
              <w:tabs>
                <w:tab w:val="left" w:pos="284"/>
              </w:tabs>
              <w:rPr>
                <w:rFonts w:eastAsia="Verdana" w:cs="Arial"/>
                <w:b/>
                <w:spacing w:val="1"/>
                <w:sz w:val="22"/>
                <w:lang w:val="ro-RO"/>
              </w:rPr>
            </w:pPr>
            <w:r>
              <w:rPr>
                <w:rFonts w:eastAsia="Verdana" w:cs="Arial"/>
                <w:bCs/>
                <w:spacing w:val="1"/>
                <w:sz w:val="22"/>
                <w:lang w:val="ro-RO"/>
              </w:rPr>
              <w:t>Riscuri sociale și economice: Instabilitatea economică, lipsa locurilor de muncă și a serviciilor sociale pot agrava migrația și sărăcia locală.</w:t>
            </w:r>
          </w:p>
        </w:tc>
      </w:tr>
    </w:tbl>
    <w:p w14:paraId="10EC0F18">
      <w:pPr>
        <w:ind w:firstLine="0"/>
        <w:rPr>
          <w:rFonts w:cs="Arial"/>
          <w:sz w:val="22"/>
          <w:lang w:val="ro-RO"/>
        </w:rPr>
      </w:pPr>
    </w:p>
    <w:p w14:paraId="75C11C26">
      <w:pPr>
        <w:ind w:firstLine="0"/>
        <w:rPr>
          <w:rFonts w:cs="Arial"/>
          <w:sz w:val="22"/>
          <w:lang w:val="ro-RO"/>
        </w:rPr>
      </w:pPr>
    </w:p>
    <w:p w14:paraId="2F44C29F">
      <w:pPr>
        <w:pStyle w:val="3"/>
        <w:numPr>
          <w:ilvl w:val="1"/>
          <w:numId w:val="8"/>
        </w:numPr>
        <w:rPr>
          <w:rFonts w:cs="Arial"/>
          <w:sz w:val="22"/>
          <w:szCs w:val="22"/>
          <w:lang w:val="ro-RO"/>
        </w:rPr>
      </w:pPr>
      <w:bookmarkStart w:id="58" w:name="_Toc100915460"/>
      <w:bookmarkStart w:id="59" w:name="_Toc121175457"/>
      <w:bookmarkStart w:id="60" w:name="_Toc201926331"/>
      <w:r>
        <w:rPr>
          <w:rFonts w:cs="Arial"/>
          <w:sz w:val="22"/>
          <w:szCs w:val="22"/>
          <w:lang w:val="ro-RO"/>
        </w:rPr>
        <w:t>PROVOCĂRI ȘI POSIBILE PROPUNERI/INTERVENȚII</w:t>
      </w:r>
      <w:bookmarkEnd w:id="58"/>
      <w:bookmarkEnd w:id="59"/>
      <w:bookmarkEnd w:id="60"/>
    </w:p>
    <w:p w14:paraId="22B3E9DC">
      <w:pPr>
        <w:pStyle w:val="80"/>
        <w:jc w:val="both"/>
        <w:rPr>
          <w:rFonts w:ascii="Arial" w:hAnsi="Arial" w:cs="Arial"/>
          <w:sz w:val="22"/>
          <w:szCs w:val="22"/>
        </w:rPr>
      </w:pPr>
      <w:r>
        <w:rPr>
          <w:rFonts w:ascii="Arial" w:hAnsi="Arial" w:cs="Arial"/>
          <w:sz w:val="22"/>
          <w:szCs w:val="22"/>
          <w:lang w:val="ro-RO"/>
        </w:rPr>
        <w:t xml:space="preserve">În secțiunea următoare vor fi prezentate principalele provocări economice, sociale, climatice, demografice și de mediu, cu care se confruntă UAT Șimian, așa cum reiese din analiza situației existente, precum și opțiunile de soluționare a acestora, ca parte a abordării integrate </w:t>
      </w:r>
      <w:r>
        <w:rPr>
          <w:rFonts w:ascii="Arial" w:hAnsi="Arial" w:cs="Arial"/>
          <w:sz w:val="22"/>
          <w:szCs w:val="22"/>
        </w:rPr>
        <w:t>care răspunde nevoilor de dezvoltare identificate și potențialului zonei.</w:t>
      </w:r>
    </w:p>
    <w:p w14:paraId="3090418A">
      <w:pPr>
        <w:rPr>
          <w:rFonts w:cs="Arial"/>
          <w:sz w:val="22"/>
          <w:lang w:val="ro-RO"/>
        </w:rPr>
      </w:pPr>
    </w:p>
    <w:p w14:paraId="7464FE8A">
      <w:pPr>
        <w:rPr>
          <w:rFonts w:cs="Arial"/>
          <w:sz w:val="22"/>
          <w:lang w:val="ro-RO"/>
        </w:rPr>
      </w:pPr>
    </w:p>
    <w:tbl>
      <w:tblPr>
        <w:tblStyle w:val="55"/>
        <w:tblW w:w="9322" w:type="dxa"/>
        <w:tblInd w:w="11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4660"/>
        <w:gridCol w:w="4662"/>
      </w:tblGrid>
      <w:tr w14:paraId="4D35A5EA">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44546A" w:themeFill="text2"/>
            <w:vAlign w:val="center"/>
          </w:tcPr>
          <w:p w14:paraId="3B45066F">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PROVOCĂRI</w:t>
            </w:r>
          </w:p>
        </w:tc>
        <w:tc>
          <w:tcPr>
            <w:tcW w:w="4662" w:type="dxa"/>
            <w:shd w:val="clear" w:color="auto" w:fill="44546A" w:themeFill="text2"/>
            <w:vAlign w:val="center"/>
          </w:tcPr>
          <w:p w14:paraId="6214A61E">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OPȚIUNI DE SOLUȚIONARE</w:t>
            </w:r>
          </w:p>
        </w:tc>
      </w:tr>
      <w:tr w14:paraId="6C0A7378">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9322" w:type="dxa"/>
            <w:gridSpan w:val="2"/>
            <w:shd w:val="clear" w:color="auto" w:fill="E7E6E6" w:themeFill="background2"/>
            <w:vAlign w:val="center"/>
          </w:tcPr>
          <w:p w14:paraId="1E2AD3C2">
            <w:pPr>
              <w:spacing w:before="60"/>
              <w:jc w:val="center"/>
              <w:rPr>
                <w:rFonts w:eastAsia="SimSun" w:cs="Arial"/>
                <w:b/>
                <w:bCs/>
                <w:sz w:val="22"/>
                <w:lang w:val="ro-RO"/>
              </w:rPr>
            </w:pPr>
            <w:r>
              <w:rPr>
                <w:rFonts w:cs="Arial" w:eastAsiaTheme="minorEastAsia"/>
                <w:b/>
                <w:sz w:val="22"/>
                <w:lang w:val="ro-RO"/>
              </w:rPr>
              <w:t>Infrastructură și transport</w:t>
            </w:r>
          </w:p>
        </w:tc>
      </w:tr>
      <w:tr w14:paraId="738E1DE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67FCB30F">
            <w:pPr>
              <w:spacing w:before="60"/>
              <w:ind w:firstLine="0"/>
              <w:rPr>
                <w:rFonts w:eastAsia="SimSun" w:cs="Arial"/>
                <w:sz w:val="22"/>
                <w:lang w:val="ro-RO"/>
              </w:rPr>
            </w:pPr>
            <w:r>
              <w:rPr>
                <w:rFonts w:eastAsia="SimSun" w:cs="Arial"/>
                <w:sz w:val="22"/>
                <w:lang w:val="ro-RO"/>
              </w:rPr>
              <w:t>Conectivitate redusă a drumurilor comunale (DC23, DC21A) la rețeaua națională. Impact: Izolarea satelor (ex. Dubovița Veche, Poroina), dificultăți în transportul mărfurilor agricole.</w:t>
            </w:r>
          </w:p>
        </w:tc>
        <w:tc>
          <w:tcPr>
            <w:tcW w:w="4662" w:type="dxa"/>
            <w:shd w:val="clear" w:color="auto" w:fill="F1F1F1" w:themeFill="background1" w:themeFillShade="F2"/>
          </w:tcPr>
          <w:p w14:paraId="646E3903">
            <w:pPr>
              <w:spacing w:before="60"/>
              <w:ind w:firstLine="0"/>
              <w:rPr>
                <w:rFonts w:eastAsia="SimSun" w:cs="Arial"/>
                <w:sz w:val="22"/>
                <w:lang w:val="ro-RO"/>
              </w:rPr>
            </w:pPr>
            <w:r>
              <w:rPr>
                <w:rFonts w:eastAsia="SimSun" w:cs="Arial"/>
                <w:sz w:val="22"/>
                <w:lang w:val="ro-RO"/>
              </w:rPr>
              <w:t xml:space="preserve">Modernizarea DC23 și DC21A cu asfaltare, sisteme de drenaj și iluminat solar, inclusiv racordarea la DN6/DN56A prin noduri rutiere semaforizate. </w:t>
            </w:r>
          </w:p>
        </w:tc>
      </w:tr>
      <w:tr w14:paraId="16D2F0C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2E1D08E5">
            <w:pPr>
              <w:spacing w:before="60"/>
              <w:ind w:firstLine="0"/>
              <w:rPr>
                <w:rFonts w:eastAsia="SimSun" w:cs="Arial"/>
                <w:sz w:val="22"/>
                <w:lang w:val="ro-RO"/>
              </w:rPr>
            </w:pPr>
            <w:r>
              <w:rPr>
                <w:rFonts w:eastAsia="SimSun" w:cs="Arial"/>
                <w:sz w:val="22"/>
                <w:lang w:val="ro-RO"/>
              </w:rPr>
              <w:t>Trafic intens și poluare pe DN6 (tronsonul Șimian–Drobeta Turnu Severin). Impact: Congestionare, accidente frecvente, poluare sonică și atmosferică.</w:t>
            </w:r>
          </w:p>
        </w:tc>
        <w:tc>
          <w:tcPr>
            <w:tcW w:w="4662" w:type="dxa"/>
            <w:shd w:val="clear" w:color="auto" w:fill="F1F1F1" w:themeFill="background1" w:themeFillShade="F2"/>
          </w:tcPr>
          <w:p w14:paraId="2AEB1009">
            <w:pPr>
              <w:spacing w:before="60"/>
              <w:ind w:firstLine="0"/>
              <w:rPr>
                <w:rFonts w:eastAsia="SimSun" w:cs="Arial"/>
                <w:sz w:val="22"/>
                <w:lang w:val="ro-RO"/>
              </w:rPr>
            </w:pPr>
            <w:r>
              <w:rPr>
                <w:rFonts w:eastAsia="SimSun" w:cs="Arial"/>
                <w:sz w:val="22"/>
                <w:lang w:val="ro-RO"/>
              </w:rPr>
              <w:t xml:space="preserve">Construcția unei ocolitoare nordice a comunei Șimian (4 km) cu benzi dedicate transportului public și piste biciclete. </w:t>
            </w:r>
          </w:p>
        </w:tc>
      </w:tr>
      <w:tr w14:paraId="5AC56978">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Ex>
        <w:trPr>
          <w:cantSplit/>
        </w:trPr>
        <w:tc>
          <w:tcPr>
            <w:tcW w:w="4660" w:type="dxa"/>
            <w:shd w:val="clear" w:color="auto" w:fill="F1F1F1" w:themeFill="background1" w:themeFillShade="F2"/>
          </w:tcPr>
          <w:p w14:paraId="356ADA88">
            <w:pPr>
              <w:spacing w:before="60"/>
              <w:ind w:firstLine="0"/>
              <w:rPr>
                <w:rFonts w:eastAsia="SimSun" w:cs="Arial"/>
                <w:sz w:val="22"/>
                <w:lang w:val="ro-RO"/>
              </w:rPr>
            </w:pPr>
            <w:r>
              <w:rPr>
                <w:rFonts w:eastAsia="SimSun" w:cs="Arial"/>
                <w:sz w:val="22"/>
                <w:lang w:val="ro-RO"/>
              </w:rPr>
              <w:t>Lipsa infrastructurii pentru transport multimodal (rutier-feroviar-fluvial). Impact: Subutilizarea Gării Șimian și a potențialului Dunării.</w:t>
            </w:r>
          </w:p>
        </w:tc>
        <w:tc>
          <w:tcPr>
            <w:tcW w:w="4662" w:type="dxa"/>
            <w:shd w:val="clear" w:color="auto" w:fill="F1F1F1" w:themeFill="background1" w:themeFillShade="F2"/>
          </w:tcPr>
          <w:p w14:paraId="5F4E52A5">
            <w:pPr>
              <w:spacing w:before="60"/>
              <w:ind w:firstLine="0"/>
              <w:rPr>
                <w:rFonts w:eastAsia="SimSun" w:cs="Arial"/>
                <w:sz w:val="22"/>
                <w:lang w:val="ro-RO"/>
              </w:rPr>
            </w:pPr>
            <w:r>
              <w:rPr>
                <w:rFonts w:eastAsia="SimSun" w:cs="Arial"/>
                <w:sz w:val="22"/>
                <w:lang w:val="ro-RO"/>
              </w:rPr>
              <w:t>Amenajarea unui terminal intermodal lângă Gara Șimian: platformă de transfer rută-fer, racord la portul fluvial planificat. Aliniere la TEN-T (Programul Operațional Transport).</w:t>
            </w:r>
          </w:p>
        </w:tc>
      </w:tr>
      <w:tr w14:paraId="305283A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39BBD7F2">
            <w:pPr>
              <w:spacing w:before="60"/>
              <w:ind w:firstLine="0"/>
              <w:rPr>
                <w:rFonts w:eastAsia="SimSun" w:cs="Arial"/>
                <w:sz w:val="22"/>
                <w:lang w:val="ro-RO"/>
              </w:rPr>
            </w:pPr>
            <w:r>
              <w:rPr>
                <w:rFonts w:eastAsia="SimSun" w:cs="Arial"/>
                <w:sz w:val="22"/>
                <w:lang w:val="ro-RO"/>
              </w:rPr>
              <w:t>Starea precară a străzilor din satele componente (ex. Cerneți, Valea Copcii). Impact: Accesibilitate redusă în condiții meteorologice nefavorabile, degradare economică.</w:t>
            </w:r>
          </w:p>
        </w:tc>
        <w:tc>
          <w:tcPr>
            <w:tcW w:w="4662" w:type="dxa"/>
            <w:shd w:val="clear" w:color="auto" w:fill="F1F1F1" w:themeFill="background1" w:themeFillShade="F2"/>
          </w:tcPr>
          <w:p w14:paraId="765830BC">
            <w:pPr>
              <w:spacing w:before="60"/>
              <w:ind w:firstLine="0"/>
              <w:rPr>
                <w:rFonts w:eastAsia="SimSun" w:cs="Arial"/>
                <w:sz w:val="22"/>
                <w:lang w:val="ro-RO"/>
              </w:rPr>
            </w:pPr>
            <w:r>
              <w:rPr>
                <w:rFonts w:eastAsia="SimSun" w:cs="Arial"/>
                <w:sz w:val="22"/>
                <w:lang w:val="ro-RO"/>
              </w:rPr>
              <w:t xml:space="preserve">Reabilitarea integrală a străzilor principale în 5 sate, cu asfaltare, borduri și semnalizare rutieră. </w:t>
            </w:r>
          </w:p>
        </w:tc>
      </w:tr>
      <w:tr w14:paraId="76DCB0A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6890572E">
            <w:pPr>
              <w:spacing w:before="60"/>
              <w:ind w:firstLine="0"/>
              <w:rPr>
                <w:rFonts w:eastAsia="SimSun" w:cs="Arial"/>
                <w:sz w:val="22"/>
                <w:lang w:val="ro-RO"/>
              </w:rPr>
            </w:pPr>
            <w:r>
              <w:rPr>
                <w:rFonts w:eastAsia="SimSun" w:cs="Arial"/>
                <w:sz w:val="22"/>
                <w:lang w:val="ro-RO"/>
              </w:rPr>
              <w:t>Lipsa infrastructurii verzi pentru mobilitate durabilă. Impact: Emisii CO</w:t>
            </w:r>
            <w:r>
              <w:rPr>
                <w:rFonts w:ascii="Cambria Math" w:hAnsi="Cambria Math" w:eastAsia="SimSun" w:cs="Cambria Math"/>
                <w:sz w:val="22"/>
                <w:lang w:val="ro-RO"/>
              </w:rPr>
              <w:t>₂</w:t>
            </w:r>
            <w:r>
              <w:rPr>
                <w:rFonts w:eastAsia="SimSun" w:cs="Arial"/>
                <w:sz w:val="22"/>
                <w:lang w:val="ro-RO"/>
              </w:rPr>
              <w:t xml:space="preserve"> ridicate, dependență de transportul auto. </w:t>
            </w:r>
          </w:p>
        </w:tc>
        <w:tc>
          <w:tcPr>
            <w:tcW w:w="4662" w:type="dxa"/>
            <w:shd w:val="clear" w:color="auto" w:fill="F1F1F1" w:themeFill="background1" w:themeFillShade="F2"/>
          </w:tcPr>
          <w:p w14:paraId="5257C8C9">
            <w:pPr>
              <w:spacing w:before="60"/>
              <w:ind w:firstLine="0"/>
              <w:rPr>
                <w:rFonts w:eastAsia="SimSun" w:cs="Arial"/>
                <w:sz w:val="22"/>
                <w:lang w:val="ro-RO"/>
              </w:rPr>
            </w:pPr>
            <w:r>
              <w:rPr>
                <w:rFonts w:eastAsia="SimSun" w:cs="Arial"/>
                <w:sz w:val="22"/>
                <w:lang w:val="ro-RO"/>
              </w:rPr>
              <w:t>Implementarea sistemului “Șimian Mobil”:</w:t>
            </w:r>
          </w:p>
          <w:p w14:paraId="0CBE9878">
            <w:pPr>
              <w:pStyle w:val="37"/>
              <w:numPr>
                <w:ilvl w:val="0"/>
                <w:numId w:val="4"/>
              </w:numPr>
              <w:spacing w:before="60"/>
              <w:rPr>
                <w:rFonts w:eastAsia="SimSun" w:cs="Arial"/>
                <w:sz w:val="22"/>
                <w:lang w:val="ro-RO"/>
              </w:rPr>
            </w:pPr>
            <w:r>
              <w:rPr>
                <w:rFonts w:eastAsia="SimSun" w:cs="Arial"/>
                <w:sz w:val="22"/>
                <w:lang w:val="ro-RO"/>
              </w:rPr>
              <w:t>15 km de piste biciclete de-a lungul DN6 și DC21;</w:t>
            </w:r>
          </w:p>
          <w:p w14:paraId="06EBF815">
            <w:pPr>
              <w:pStyle w:val="37"/>
              <w:numPr>
                <w:ilvl w:val="0"/>
                <w:numId w:val="4"/>
              </w:numPr>
              <w:spacing w:before="60"/>
              <w:rPr>
                <w:rFonts w:eastAsia="SimSun" w:cs="Arial"/>
                <w:sz w:val="22"/>
                <w:lang w:val="ro-RO"/>
              </w:rPr>
            </w:pPr>
            <w:r>
              <w:rPr>
                <w:rFonts w:eastAsia="SimSun" w:cs="Arial"/>
                <w:sz w:val="22"/>
                <w:lang w:val="ro-RO"/>
              </w:rPr>
              <w:t>3 stații de încărcare pentru vehicule electrice;</w:t>
            </w:r>
          </w:p>
          <w:p w14:paraId="2598F1DB">
            <w:pPr>
              <w:pStyle w:val="37"/>
              <w:numPr>
                <w:ilvl w:val="0"/>
                <w:numId w:val="4"/>
              </w:numPr>
              <w:spacing w:before="60"/>
              <w:rPr>
                <w:rFonts w:eastAsia="SimSun" w:cs="Arial"/>
                <w:sz w:val="22"/>
                <w:lang w:val="ro-RO"/>
              </w:rPr>
            </w:pPr>
            <w:r>
              <w:rPr>
                <w:rFonts w:eastAsia="SimSun" w:cs="Arial"/>
                <w:sz w:val="22"/>
                <w:lang w:val="ro-RO"/>
              </w:rPr>
              <w:t>Flotă de microbuze electrice pentru transport școlar.</w:t>
            </w:r>
          </w:p>
          <w:p w14:paraId="046D798C">
            <w:pPr>
              <w:spacing w:before="60"/>
              <w:rPr>
                <w:rFonts w:eastAsia="SimSun" w:cs="Arial"/>
                <w:sz w:val="22"/>
                <w:lang w:val="ro-RO"/>
              </w:rPr>
            </w:pPr>
          </w:p>
        </w:tc>
      </w:tr>
    </w:tbl>
    <w:p w14:paraId="51AEDA7B">
      <w:pPr>
        <w:rPr>
          <w:rFonts w:cs="Arial"/>
          <w:sz w:val="22"/>
          <w:lang w:val="ro-RO"/>
        </w:rPr>
      </w:pPr>
    </w:p>
    <w:p w14:paraId="7A382F09">
      <w:pPr>
        <w:rPr>
          <w:rFonts w:cs="Arial"/>
          <w:sz w:val="22"/>
          <w:lang w:val="ro-RO"/>
        </w:rPr>
      </w:pPr>
    </w:p>
    <w:tbl>
      <w:tblPr>
        <w:tblStyle w:val="55"/>
        <w:tblW w:w="9322" w:type="dxa"/>
        <w:tblInd w:w="11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4660"/>
        <w:gridCol w:w="4662"/>
      </w:tblGrid>
      <w:tr w14:paraId="0075B09A">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44546A" w:themeFill="text2"/>
            <w:vAlign w:val="center"/>
          </w:tcPr>
          <w:p w14:paraId="1E7E3CBE">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PROVOCĂRI</w:t>
            </w:r>
          </w:p>
        </w:tc>
        <w:tc>
          <w:tcPr>
            <w:tcW w:w="4662" w:type="dxa"/>
            <w:shd w:val="clear" w:color="auto" w:fill="44546A" w:themeFill="text2"/>
            <w:vAlign w:val="center"/>
          </w:tcPr>
          <w:p w14:paraId="6BED0F6D">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OPȚIUNI DE SOLUȚIONARE</w:t>
            </w:r>
          </w:p>
        </w:tc>
      </w:tr>
      <w:tr w14:paraId="56A9F42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9322" w:type="dxa"/>
            <w:gridSpan w:val="2"/>
            <w:shd w:val="clear" w:color="auto" w:fill="E7E6E6" w:themeFill="background2"/>
            <w:vAlign w:val="center"/>
          </w:tcPr>
          <w:p w14:paraId="3E04BBEB">
            <w:pPr>
              <w:spacing w:before="60"/>
              <w:jc w:val="center"/>
              <w:rPr>
                <w:rFonts w:eastAsia="SimSun" w:cs="Arial"/>
                <w:b/>
                <w:bCs/>
                <w:sz w:val="22"/>
                <w:lang w:val="ro-RO"/>
              </w:rPr>
            </w:pPr>
            <w:bookmarkStart w:id="61" w:name="OLE_LINK20"/>
            <w:r>
              <w:rPr>
                <w:rFonts w:cs="Arial" w:eastAsiaTheme="minorEastAsia"/>
                <w:b/>
                <w:sz w:val="22"/>
                <w:lang w:val="ro-RO"/>
              </w:rPr>
              <w:t>Economie locală (agricultură, comerț, servicii)</w:t>
            </w:r>
            <w:bookmarkEnd w:id="61"/>
          </w:p>
        </w:tc>
      </w:tr>
      <w:tr w14:paraId="61424547">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51082993">
            <w:pPr>
              <w:spacing w:before="60"/>
              <w:ind w:firstLine="0"/>
              <w:rPr>
                <w:rFonts w:eastAsia="SimSun" w:cs="Arial"/>
                <w:sz w:val="22"/>
                <w:lang w:val="ro-RO"/>
              </w:rPr>
            </w:pPr>
            <w:r>
              <w:rPr>
                <w:rFonts w:eastAsia="SimSun" w:cs="Arial"/>
                <w:sz w:val="22"/>
                <w:lang w:val="ro-RO"/>
              </w:rPr>
              <w:t xml:space="preserve">Lipsa infrastructurii de stocare și procesare a produselor agricole.  </w:t>
            </w:r>
          </w:p>
        </w:tc>
        <w:tc>
          <w:tcPr>
            <w:tcW w:w="4662" w:type="dxa"/>
            <w:shd w:val="clear" w:color="auto" w:fill="F1F1F1" w:themeFill="background1" w:themeFillShade="F2"/>
          </w:tcPr>
          <w:p w14:paraId="391F86B0">
            <w:pPr>
              <w:spacing w:before="60"/>
              <w:ind w:firstLine="0"/>
              <w:rPr>
                <w:rFonts w:eastAsia="SimSun" w:cs="Arial"/>
                <w:sz w:val="22"/>
                <w:lang w:val="ro-RO"/>
              </w:rPr>
            </w:pPr>
            <w:r>
              <w:rPr>
                <w:rFonts w:eastAsia="SimSun" w:cs="Arial"/>
                <w:sz w:val="22"/>
                <w:lang w:val="ro-RO"/>
              </w:rPr>
              <w:t>Construirea unui Centru Agrologic Integrat:</w:t>
            </w:r>
          </w:p>
          <w:p w14:paraId="097EEF93">
            <w:pPr>
              <w:pStyle w:val="37"/>
              <w:numPr>
                <w:ilvl w:val="0"/>
                <w:numId w:val="4"/>
              </w:numPr>
              <w:spacing w:before="60"/>
              <w:rPr>
                <w:rFonts w:eastAsia="SimSun" w:cs="Arial"/>
                <w:sz w:val="22"/>
                <w:lang w:val="ro-RO"/>
              </w:rPr>
            </w:pPr>
            <w:r>
              <w:rPr>
                <w:rFonts w:eastAsia="SimSun" w:cs="Arial"/>
                <w:sz w:val="22"/>
                <w:lang w:val="ro-RO"/>
              </w:rPr>
              <w:t>Unități de uscare, ambalare și refrigerare pentru legume/fructe;</w:t>
            </w:r>
          </w:p>
          <w:p w14:paraId="412FC917">
            <w:pPr>
              <w:pStyle w:val="37"/>
              <w:numPr>
                <w:ilvl w:val="0"/>
                <w:numId w:val="4"/>
              </w:numPr>
              <w:spacing w:before="60"/>
              <w:rPr>
                <w:rFonts w:eastAsia="SimSun" w:cs="Arial"/>
                <w:sz w:val="22"/>
                <w:lang w:val="ro-RO"/>
              </w:rPr>
            </w:pPr>
            <w:r>
              <w:rPr>
                <w:rFonts w:eastAsia="SimSun" w:cs="Arial"/>
                <w:sz w:val="22"/>
                <w:lang w:val="ro-RO"/>
              </w:rPr>
              <w:t>Ateliere de prelucrare primară (sucuri, conserve, murături);</w:t>
            </w:r>
          </w:p>
        </w:tc>
      </w:tr>
      <w:tr w14:paraId="43B8115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4668B166">
            <w:pPr>
              <w:spacing w:before="60"/>
              <w:ind w:firstLine="0"/>
              <w:rPr>
                <w:rFonts w:eastAsia="SimSun" w:cs="Arial"/>
                <w:sz w:val="22"/>
                <w:lang w:val="ro-RO"/>
              </w:rPr>
            </w:pPr>
            <w:r>
              <w:rPr>
                <w:rFonts w:eastAsia="SimSun" w:cs="Arial"/>
                <w:sz w:val="22"/>
                <w:lang w:val="ro-RO"/>
              </w:rPr>
              <w:t>Fragmentarea fermelor și lipsa cooperării. Ferme mici (sub 5 ha) și lipsa cooperativelor reduc competitivitatea, reflectând problemele naționale de asociere a fermierilor</w:t>
            </w:r>
          </w:p>
        </w:tc>
        <w:tc>
          <w:tcPr>
            <w:tcW w:w="4662" w:type="dxa"/>
            <w:shd w:val="clear" w:color="auto" w:fill="F1F1F1" w:themeFill="background1" w:themeFillShade="F2"/>
          </w:tcPr>
          <w:p w14:paraId="199A5FBB">
            <w:pPr>
              <w:spacing w:before="60"/>
              <w:ind w:firstLine="0"/>
              <w:rPr>
                <w:rFonts w:eastAsia="SimSun" w:cs="Arial"/>
                <w:sz w:val="22"/>
                <w:lang w:val="ro-RO"/>
              </w:rPr>
            </w:pPr>
            <w:r>
              <w:rPr>
                <w:rFonts w:eastAsia="SimSun" w:cs="Arial"/>
                <w:sz w:val="22"/>
                <w:lang w:val="ro-RO"/>
              </w:rPr>
              <w:t>Lansarea programului “Cooperativa Agro Șimian”:</w:t>
            </w:r>
          </w:p>
          <w:p w14:paraId="5257391D">
            <w:pPr>
              <w:pStyle w:val="37"/>
              <w:numPr>
                <w:ilvl w:val="0"/>
                <w:numId w:val="4"/>
              </w:numPr>
              <w:spacing w:before="60"/>
              <w:rPr>
                <w:rFonts w:eastAsia="SimSun" w:cs="Arial"/>
                <w:sz w:val="22"/>
                <w:lang w:val="ro-RO"/>
              </w:rPr>
            </w:pPr>
            <w:r>
              <w:rPr>
                <w:rFonts w:eastAsia="SimSun" w:cs="Arial"/>
                <w:sz w:val="22"/>
                <w:lang w:val="ro-RO"/>
              </w:rPr>
              <w:t>Incentive fiscale pentru fermieri asociați;</w:t>
            </w:r>
          </w:p>
          <w:p w14:paraId="396A7284">
            <w:pPr>
              <w:pStyle w:val="37"/>
              <w:numPr>
                <w:ilvl w:val="0"/>
                <w:numId w:val="4"/>
              </w:numPr>
              <w:spacing w:before="60"/>
              <w:rPr>
                <w:rFonts w:eastAsia="SimSun" w:cs="Arial"/>
                <w:sz w:val="22"/>
                <w:lang w:val="ro-RO"/>
              </w:rPr>
            </w:pPr>
            <w:r>
              <w:rPr>
                <w:rFonts w:eastAsia="SimSun" w:cs="Arial"/>
                <w:sz w:val="22"/>
                <w:lang w:val="ro-RO"/>
              </w:rPr>
              <w:t>Achiziție colectivă de utilaje și inputuri agricole;</w:t>
            </w:r>
          </w:p>
        </w:tc>
      </w:tr>
      <w:tr w14:paraId="225C3D92">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354FB06D">
            <w:pPr>
              <w:spacing w:before="60"/>
              <w:ind w:firstLine="0"/>
              <w:rPr>
                <w:rFonts w:eastAsia="SimSun" w:cs="Arial"/>
                <w:sz w:val="22"/>
                <w:lang w:val="ro-RO"/>
              </w:rPr>
            </w:pPr>
            <w:r>
              <w:rPr>
                <w:rFonts w:eastAsia="SimSun" w:cs="Arial"/>
                <w:sz w:val="22"/>
                <w:lang w:val="ro-RO"/>
              </w:rPr>
              <w:t>Dependența de subvenții și riscul volatilității pieței</w:t>
            </w:r>
          </w:p>
          <w:p w14:paraId="077DF2DA">
            <w:pPr>
              <w:spacing w:before="60"/>
              <w:ind w:firstLine="0"/>
              <w:rPr>
                <w:rFonts w:eastAsia="SimSun" w:cs="Arial"/>
                <w:sz w:val="22"/>
                <w:lang w:val="ro-RO"/>
              </w:rPr>
            </w:pPr>
            <w:r>
              <w:rPr>
                <w:rFonts w:eastAsia="SimSun" w:cs="Arial"/>
                <w:sz w:val="22"/>
                <w:lang w:val="ro-RO"/>
              </w:rPr>
              <w:t>Agricultura este vulnerabilă la schimbări legislative și fluctuații de preț, agravate de crize regionale.</w:t>
            </w:r>
          </w:p>
        </w:tc>
        <w:tc>
          <w:tcPr>
            <w:tcW w:w="4662" w:type="dxa"/>
            <w:shd w:val="clear" w:color="auto" w:fill="F1F1F1" w:themeFill="background1" w:themeFillShade="F2"/>
          </w:tcPr>
          <w:p w14:paraId="73D4F90A">
            <w:pPr>
              <w:spacing w:before="60"/>
              <w:ind w:firstLine="0"/>
              <w:rPr>
                <w:rFonts w:eastAsia="SimSun" w:cs="Arial"/>
                <w:sz w:val="22"/>
                <w:lang w:val="ro-RO"/>
              </w:rPr>
            </w:pPr>
            <w:r>
              <w:rPr>
                <w:rFonts w:eastAsia="SimSun" w:cs="Arial"/>
                <w:sz w:val="22"/>
                <w:lang w:val="ro-RO"/>
              </w:rPr>
              <w:t>Diversificarea economică prin turism agroalimentar:</w:t>
            </w:r>
          </w:p>
          <w:p w14:paraId="71E214C5">
            <w:pPr>
              <w:pStyle w:val="37"/>
              <w:numPr>
                <w:ilvl w:val="0"/>
                <w:numId w:val="4"/>
              </w:numPr>
              <w:spacing w:before="60"/>
              <w:rPr>
                <w:rFonts w:eastAsia="SimSun" w:cs="Arial"/>
                <w:sz w:val="22"/>
                <w:lang w:val="ro-RO"/>
              </w:rPr>
            </w:pPr>
            <w:r>
              <w:rPr>
                <w:rFonts w:eastAsia="SimSun" w:cs="Arial"/>
                <w:sz w:val="22"/>
                <w:lang w:val="ro-RO"/>
              </w:rPr>
              <w:t>Circuit turistic “De la grădină la farfurie” cu degustări și ateliere;</w:t>
            </w:r>
          </w:p>
          <w:p w14:paraId="05DA4A2C">
            <w:pPr>
              <w:pStyle w:val="37"/>
              <w:numPr>
                <w:ilvl w:val="0"/>
                <w:numId w:val="4"/>
              </w:numPr>
              <w:spacing w:before="60"/>
              <w:rPr>
                <w:rFonts w:eastAsia="SimSun" w:cs="Arial"/>
                <w:sz w:val="22"/>
                <w:lang w:val="ro-RO"/>
              </w:rPr>
            </w:pPr>
            <w:r>
              <w:rPr>
                <w:rFonts w:eastAsia="SimSun" w:cs="Arial"/>
                <w:sz w:val="22"/>
                <w:lang w:val="ro-RO"/>
              </w:rPr>
              <w:t>Infrastructură pentru agroturism (pensiuni tematice, piață sătească);</w:t>
            </w:r>
          </w:p>
        </w:tc>
      </w:tr>
      <w:tr w14:paraId="4AD7AA8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47B2DDBC">
            <w:pPr>
              <w:spacing w:before="60"/>
              <w:ind w:firstLine="0"/>
              <w:rPr>
                <w:rFonts w:eastAsia="SimSun" w:cs="Arial"/>
                <w:sz w:val="22"/>
                <w:lang w:val="lt-LT"/>
              </w:rPr>
            </w:pPr>
            <w:r>
              <w:rPr>
                <w:rFonts w:eastAsia="SimSun" w:cs="Arial"/>
                <w:sz w:val="22"/>
                <w:lang w:val="lt-LT"/>
              </w:rPr>
              <w:t>Acces inegal la piețe pentru producătorii locali. Producătorii din satele mici (ex. Dubovița Veche, Poroina) nu au canale de distribuție eficiente, iar produsele lor rămân necunoscute pe piața regională.</w:t>
            </w:r>
          </w:p>
        </w:tc>
        <w:tc>
          <w:tcPr>
            <w:tcW w:w="4662" w:type="dxa"/>
            <w:shd w:val="clear" w:color="auto" w:fill="F1F1F1" w:themeFill="background1" w:themeFillShade="F2"/>
          </w:tcPr>
          <w:p w14:paraId="78DCC413">
            <w:pPr>
              <w:spacing w:before="60"/>
              <w:ind w:firstLine="0"/>
              <w:rPr>
                <w:rFonts w:eastAsia="SimSun" w:cs="Arial"/>
                <w:sz w:val="22"/>
                <w:lang w:val="lt-LT"/>
              </w:rPr>
            </w:pPr>
            <w:r>
              <w:rPr>
                <w:rFonts w:eastAsia="SimSun" w:cs="Arial"/>
                <w:sz w:val="22"/>
                <w:lang w:val="lt-LT"/>
              </w:rPr>
              <w:t>Rețea de puncte de vânzare “Piața Satelor Șimian”:</w:t>
            </w:r>
          </w:p>
          <w:p w14:paraId="485B0BC1">
            <w:pPr>
              <w:pStyle w:val="37"/>
              <w:numPr>
                <w:ilvl w:val="0"/>
                <w:numId w:val="4"/>
              </w:numPr>
              <w:spacing w:before="60"/>
              <w:rPr>
                <w:rFonts w:eastAsia="SimSun" w:cs="Arial"/>
                <w:sz w:val="22"/>
                <w:lang w:val="lt-LT"/>
              </w:rPr>
            </w:pPr>
            <w:r>
              <w:rPr>
                <w:rFonts w:eastAsia="SimSun" w:cs="Arial"/>
                <w:sz w:val="22"/>
                <w:lang w:val="lt-LT"/>
              </w:rPr>
              <w:t>Amenajarea a 3 piete săptămânale rotative (Șimian, Cerneți, Dubovița) cu tarife simbolice pentru producători locali;</w:t>
            </w:r>
          </w:p>
          <w:p w14:paraId="33F14B04">
            <w:pPr>
              <w:pStyle w:val="37"/>
              <w:numPr>
                <w:ilvl w:val="0"/>
                <w:numId w:val="4"/>
              </w:numPr>
              <w:spacing w:before="60"/>
              <w:rPr>
                <w:rFonts w:eastAsia="SimSun" w:cs="Arial"/>
                <w:sz w:val="22"/>
                <w:lang w:val="lt-LT"/>
              </w:rPr>
            </w:pPr>
            <w:r>
              <w:rPr>
                <w:rFonts w:eastAsia="SimSun" w:cs="Arial"/>
                <w:sz w:val="22"/>
                <w:lang w:val="lt-LT"/>
              </w:rPr>
              <w:t>Platformă digitală cu geolocație pentru program și rezervări;</w:t>
            </w:r>
          </w:p>
        </w:tc>
      </w:tr>
      <w:tr w14:paraId="3979AFA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108D3AAC">
            <w:pPr>
              <w:spacing w:before="60"/>
              <w:ind w:firstLine="0"/>
              <w:rPr>
                <w:rFonts w:eastAsia="SimSun" w:cs="Arial"/>
                <w:sz w:val="22"/>
                <w:lang w:val="lt-LT"/>
              </w:rPr>
            </w:pPr>
            <w:r>
              <w:rPr>
                <w:rFonts w:eastAsia="SimSun" w:cs="Arial"/>
                <w:sz w:val="22"/>
                <w:lang w:val="lt-LT"/>
              </w:rPr>
              <w:t>Lipsa serviciilor esențiale în satele izolate. Satele mici (ex. Valea Copcii, Erghevița) nu dispun de servicii de bază: farmacii, asistență veterinară sau suport tehnic pentru utilaje agricole.</w:t>
            </w:r>
          </w:p>
        </w:tc>
        <w:tc>
          <w:tcPr>
            <w:tcW w:w="4662" w:type="dxa"/>
            <w:shd w:val="clear" w:color="auto" w:fill="F1F1F1" w:themeFill="background1" w:themeFillShade="F2"/>
          </w:tcPr>
          <w:p w14:paraId="72EE29F0">
            <w:pPr>
              <w:spacing w:before="60"/>
              <w:ind w:firstLine="0"/>
              <w:rPr>
                <w:rFonts w:eastAsia="SimSun" w:cs="Arial"/>
                <w:sz w:val="22"/>
                <w:lang w:val="lt-LT"/>
              </w:rPr>
            </w:pPr>
            <w:r>
              <w:rPr>
                <w:rFonts w:eastAsia="SimSun" w:cs="Arial"/>
                <w:sz w:val="22"/>
                <w:lang w:val="lt-LT"/>
              </w:rPr>
              <w:t>Unități mobile “Servicii la tine acasă”:</w:t>
            </w:r>
          </w:p>
          <w:p w14:paraId="35CBDCD7">
            <w:pPr>
              <w:pStyle w:val="37"/>
              <w:numPr>
                <w:ilvl w:val="0"/>
                <w:numId w:val="4"/>
              </w:numPr>
              <w:spacing w:before="60"/>
              <w:rPr>
                <w:rFonts w:eastAsia="SimSun" w:cs="Arial"/>
                <w:sz w:val="22"/>
                <w:lang w:val="lt-LT"/>
              </w:rPr>
            </w:pPr>
            <w:r>
              <w:rPr>
                <w:rFonts w:eastAsia="SimSun" w:cs="Arial"/>
                <w:sz w:val="22"/>
                <w:lang w:val="lt-LT"/>
              </w:rPr>
              <w:t>2 vehicule echipate cu farmacie, cabinet veterinar și atelier tehnic;</w:t>
            </w:r>
          </w:p>
          <w:p w14:paraId="68E3F94C">
            <w:pPr>
              <w:pStyle w:val="37"/>
              <w:numPr>
                <w:ilvl w:val="0"/>
                <w:numId w:val="4"/>
              </w:numPr>
              <w:spacing w:before="60"/>
              <w:rPr>
                <w:rFonts w:eastAsia="SimSun" w:cs="Arial"/>
                <w:sz w:val="22"/>
                <w:lang w:val="lt-LT"/>
              </w:rPr>
            </w:pPr>
            <w:r>
              <w:rPr>
                <w:rFonts w:eastAsia="SimSun" w:cs="Arial"/>
                <w:sz w:val="22"/>
                <w:lang w:val="lt-LT"/>
              </w:rPr>
              <w:t>Program circulant stabilit prin aplicația comunei;</w:t>
            </w:r>
          </w:p>
          <w:p w14:paraId="15109D92">
            <w:pPr>
              <w:pStyle w:val="37"/>
              <w:numPr>
                <w:ilvl w:val="0"/>
                <w:numId w:val="4"/>
              </w:numPr>
              <w:spacing w:before="60"/>
              <w:rPr>
                <w:rFonts w:eastAsia="SimSun" w:cs="Arial"/>
                <w:sz w:val="22"/>
                <w:lang w:val="lt-LT"/>
              </w:rPr>
            </w:pPr>
            <w:r>
              <w:rPr>
                <w:rFonts w:eastAsia="SimSun" w:cs="Arial"/>
                <w:sz w:val="22"/>
                <w:lang w:val="lt-LT"/>
              </w:rPr>
              <w:t>Parteneriat cu Colegiul Agricol Drobeta pentru stagii practice;</w:t>
            </w:r>
          </w:p>
        </w:tc>
      </w:tr>
    </w:tbl>
    <w:p w14:paraId="41702F92">
      <w:pPr>
        <w:rPr>
          <w:rFonts w:cs="Arial"/>
          <w:sz w:val="22"/>
          <w:lang w:val="ro-RO"/>
        </w:rPr>
      </w:pPr>
    </w:p>
    <w:tbl>
      <w:tblPr>
        <w:tblStyle w:val="55"/>
        <w:tblW w:w="9322" w:type="dxa"/>
        <w:tblInd w:w="11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4660"/>
        <w:gridCol w:w="4662"/>
      </w:tblGrid>
      <w:tr w14:paraId="19543E12">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44546A" w:themeFill="text2"/>
            <w:vAlign w:val="center"/>
          </w:tcPr>
          <w:p w14:paraId="4249D5D5">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PROVOCĂRI</w:t>
            </w:r>
          </w:p>
        </w:tc>
        <w:tc>
          <w:tcPr>
            <w:tcW w:w="4662" w:type="dxa"/>
            <w:shd w:val="clear" w:color="auto" w:fill="44546A" w:themeFill="text2"/>
            <w:vAlign w:val="center"/>
          </w:tcPr>
          <w:p w14:paraId="259D29AB">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OPȚIUNI DE SOLUȚIONARE</w:t>
            </w:r>
          </w:p>
        </w:tc>
      </w:tr>
      <w:tr w14:paraId="0FF9240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9322" w:type="dxa"/>
            <w:gridSpan w:val="2"/>
            <w:shd w:val="clear" w:color="auto" w:fill="E7E6E6" w:themeFill="background2"/>
            <w:vAlign w:val="center"/>
          </w:tcPr>
          <w:p w14:paraId="4FDDEDD0">
            <w:pPr>
              <w:spacing w:before="60"/>
              <w:jc w:val="center"/>
              <w:rPr>
                <w:rFonts w:eastAsia="SimSun" w:cs="Arial"/>
                <w:b/>
                <w:bCs/>
                <w:sz w:val="22"/>
                <w:lang w:val="ro-RO"/>
              </w:rPr>
            </w:pPr>
            <w:r>
              <w:rPr>
                <w:rFonts w:cs="Arial" w:eastAsiaTheme="minorEastAsia"/>
                <w:b/>
                <w:sz w:val="22"/>
                <w:lang w:val="ro-RO"/>
              </w:rPr>
              <w:t>Educație, cultură și turism</w:t>
            </w:r>
          </w:p>
        </w:tc>
      </w:tr>
      <w:tr w14:paraId="200BCAD2">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5B25A530">
            <w:pPr>
              <w:spacing w:before="60"/>
              <w:ind w:firstLine="0"/>
              <w:rPr>
                <w:rFonts w:eastAsia="SimSun" w:cs="Arial"/>
                <w:sz w:val="22"/>
                <w:lang w:val="ro-RO"/>
              </w:rPr>
            </w:pPr>
            <w:r>
              <w:rPr>
                <w:rFonts w:eastAsia="SimSun" w:cs="Arial"/>
                <w:sz w:val="22"/>
                <w:lang w:val="ro-RO"/>
              </w:rPr>
              <w:t>Metode de predare învechite și performanțe școlare scăzute. Conform sondajului național, 42,28% dintre părinți identifică metodele învechite de predare ca o problemă majoră.</w:t>
            </w:r>
          </w:p>
          <w:p w14:paraId="634938FF">
            <w:pPr>
              <w:spacing w:before="60"/>
              <w:ind w:firstLine="0"/>
              <w:rPr>
                <w:rFonts w:eastAsia="SimSun" w:cs="Arial"/>
                <w:sz w:val="22"/>
                <w:lang w:val="ro-RO"/>
              </w:rPr>
            </w:pPr>
            <w:r>
              <w:rPr>
                <w:rFonts w:eastAsia="SimSun" w:cs="Arial"/>
                <w:sz w:val="22"/>
                <w:lang w:val="ro-RO"/>
              </w:rPr>
              <w:t>La Școala Gimnazială “Kazinczy Ferenc” din Șimian, doar 21% dintre elevi au rezultate bune/foarte bune, iar rata abandonului este de 1,9%.</w:t>
            </w:r>
          </w:p>
          <w:p w14:paraId="63E7BD63">
            <w:pPr>
              <w:spacing w:before="60"/>
              <w:ind w:firstLine="0"/>
              <w:rPr>
                <w:rFonts w:eastAsia="SimSun" w:cs="Arial"/>
                <w:sz w:val="22"/>
                <w:lang w:val="ro-RO"/>
              </w:rPr>
            </w:pPr>
            <w:r>
              <w:rPr>
                <w:rFonts w:eastAsia="SimSun" w:cs="Arial"/>
                <w:sz w:val="22"/>
                <w:lang w:val="ro-RO"/>
              </w:rPr>
              <w:t>Raportul național arată că mediul rural are o rată de cuprindere școlară cu 28% mai mică decât mediul urban.</w:t>
            </w:r>
          </w:p>
        </w:tc>
        <w:tc>
          <w:tcPr>
            <w:tcW w:w="4662" w:type="dxa"/>
            <w:shd w:val="clear" w:color="auto" w:fill="F1F1F1" w:themeFill="background1" w:themeFillShade="F2"/>
          </w:tcPr>
          <w:p w14:paraId="1A196D69">
            <w:pPr>
              <w:spacing w:before="60"/>
              <w:ind w:firstLine="0"/>
              <w:rPr>
                <w:rFonts w:eastAsia="SimSun" w:cs="Arial"/>
                <w:sz w:val="22"/>
                <w:lang w:val="ro-RO"/>
              </w:rPr>
            </w:pPr>
            <w:r>
              <w:rPr>
                <w:rFonts w:eastAsia="SimSun" w:cs="Arial"/>
                <w:sz w:val="22"/>
                <w:lang w:val="ro-RO"/>
              </w:rPr>
              <w:t>Programul “Educație pentru Șimian”:</w:t>
            </w:r>
          </w:p>
          <w:p w14:paraId="5C871296">
            <w:pPr>
              <w:pStyle w:val="37"/>
              <w:numPr>
                <w:ilvl w:val="0"/>
                <w:numId w:val="4"/>
              </w:numPr>
              <w:spacing w:before="60"/>
              <w:rPr>
                <w:rFonts w:eastAsia="SimSun" w:cs="Arial"/>
                <w:sz w:val="22"/>
                <w:lang w:val="ro-RO"/>
              </w:rPr>
            </w:pPr>
            <w:r>
              <w:rPr>
                <w:rFonts w:eastAsia="SimSun" w:cs="Arial"/>
                <w:sz w:val="22"/>
                <w:lang w:val="ro-RO"/>
              </w:rPr>
              <w:t>Formarea continuă a profesorilor în metode interactive (învățare bazată pe proiecte, flipped classroom) și utilizarea TIC.</w:t>
            </w:r>
          </w:p>
          <w:p w14:paraId="44E0DC3C">
            <w:pPr>
              <w:pStyle w:val="37"/>
              <w:numPr>
                <w:ilvl w:val="0"/>
                <w:numId w:val="4"/>
              </w:numPr>
              <w:spacing w:before="60"/>
              <w:rPr>
                <w:rFonts w:eastAsia="SimSun" w:cs="Arial"/>
                <w:sz w:val="22"/>
                <w:lang w:val="ro-RO"/>
              </w:rPr>
            </w:pPr>
            <w:r>
              <w:rPr>
                <w:rFonts w:eastAsia="SimSun" w:cs="Arial"/>
                <w:sz w:val="22"/>
                <w:lang w:val="ro-RO"/>
              </w:rPr>
              <w:t>Dotarea sălilor de clasă cu tablete, proiectoare interactive și platforme digitale educaționale.</w:t>
            </w:r>
          </w:p>
          <w:p w14:paraId="016DB82D">
            <w:pPr>
              <w:pStyle w:val="37"/>
              <w:numPr>
                <w:ilvl w:val="0"/>
                <w:numId w:val="4"/>
              </w:numPr>
              <w:spacing w:before="60"/>
              <w:rPr>
                <w:rFonts w:eastAsia="SimSun" w:cs="Arial"/>
                <w:sz w:val="22"/>
                <w:lang w:val="ro-RO"/>
              </w:rPr>
            </w:pPr>
            <w:r>
              <w:rPr>
                <w:rFonts w:eastAsia="SimSun" w:cs="Arial"/>
                <w:sz w:val="22"/>
                <w:lang w:val="ro-RO"/>
              </w:rPr>
              <w:t>Ateliere practice STEM în parteneriat cu Liceul “Șerban Cioculescu”: robotică, programare, agro-tehnologii.</w:t>
            </w:r>
          </w:p>
          <w:p w14:paraId="4C597C8B">
            <w:pPr>
              <w:pStyle w:val="37"/>
              <w:numPr>
                <w:ilvl w:val="0"/>
                <w:numId w:val="4"/>
              </w:numPr>
              <w:spacing w:before="60"/>
              <w:rPr>
                <w:rFonts w:eastAsia="SimSun" w:cs="Arial"/>
                <w:sz w:val="22"/>
                <w:lang w:val="ro-RO"/>
              </w:rPr>
            </w:pPr>
            <w:r>
              <w:rPr>
                <w:rFonts w:eastAsia="SimSun" w:cs="Arial"/>
                <w:sz w:val="22"/>
                <w:lang w:val="ro-RO"/>
              </w:rPr>
              <w:t>Monitorizare personalizată a elevilor cu risc de abandon prin platformă digitală și echipă psihopedagogică.</w:t>
            </w:r>
          </w:p>
        </w:tc>
      </w:tr>
      <w:tr w14:paraId="1271FBF7">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7F70AA75">
            <w:pPr>
              <w:spacing w:before="60"/>
              <w:ind w:firstLine="0"/>
              <w:rPr>
                <w:rFonts w:eastAsia="SimSun" w:cs="Arial"/>
                <w:sz w:val="22"/>
                <w:lang w:val="ro-RO"/>
              </w:rPr>
            </w:pPr>
            <w:r>
              <w:rPr>
                <w:rFonts w:eastAsia="SimSun" w:cs="Arial"/>
                <w:sz w:val="22"/>
                <w:lang w:val="ro-RO"/>
              </w:rPr>
              <w:t>Degradarea patrimoniului imaterial (meșteșuguri, obiceiuri). Impact: Dispareția tradițiilor specifice zonei Dunării, pierderea identității culturale</w:t>
            </w:r>
          </w:p>
        </w:tc>
        <w:tc>
          <w:tcPr>
            <w:tcW w:w="4662" w:type="dxa"/>
            <w:shd w:val="clear" w:color="auto" w:fill="F1F1F1" w:themeFill="background1" w:themeFillShade="F2"/>
          </w:tcPr>
          <w:p w14:paraId="34A410D3">
            <w:pPr>
              <w:spacing w:before="60"/>
              <w:ind w:firstLine="0"/>
              <w:rPr>
                <w:rFonts w:eastAsia="SimSun" w:cs="Arial"/>
                <w:sz w:val="22"/>
                <w:lang w:val="ro-RO"/>
              </w:rPr>
            </w:pPr>
            <w:r>
              <w:rPr>
                <w:rFonts w:eastAsia="SimSun" w:cs="Arial"/>
                <w:sz w:val="22"/>
                <w:lang w:val="ro-RO"/>
              </w:rPr>
              <w:t>Înființarea unui Centrul de Artă Tradițională:</w:t>
            </w:r>
          </w:p>
          <w:p w14:paraId="152644E6">
            <w:pPr>
              <w:pStyle w:val="37"/>
              <w:numPr>
                <w:ilvl w:val="0"/>
                <w:numId w:val="4"/>
              </w:numPr>
              <w:spacing w:before="60"/>
              <w:rPr>
                <w:rFonts w:eastAsia="SimSun" w:cs="Arial"/>
                <w:sz w:val="22"/>
                <w:lang w:val="ro-RO"/>
              </w:rPr>
            </w:pPr>
            <w:r>
              <w:rPr>
                <w:rFonts w:eastAsia="SimSun" w:cs="Arial"/>
                <w:sz w:val="22"/>
                <w:lang w:val="ro-RO"/>
              </w:rPr>
              <w:t>Ateliere permanente de artă și meșteșuguri tradiționale, din zonă, pentru tineri și adulți.</w:t>
            </w:r>
          </w:p>
          <w:p w14:paraId="20485858">
            <w:pPr>
              <w:pStyle w:val="37"/>
              <w:numPr>
                <w:ilvl w:val="0"/>
                <w:numId w:val="4"/>
              </w:numPr>
              <w:spacing w:before="60"/>
              <w:rPr>
                <w:rFonts w:eastAsia="SimSun" w:cs="Arial"/>
                <w:sz w:val="22"/>
                <w:lang w:val="ro-RO"/>
              </w:rPr>
            </w:pPr>
            <w:r>
              <w:rPr>
                <w:rFonts w:eastAsia="SimSun" w:cs="Arial"/>
                <w:sz w:val="22"/>
                <w:lang w:val="ro-RO"/>
              </w:rPr>
              <w:t>Digitalizarea meșteșugurilor prin platformă interactivă cu tutoriale și expoziții virtuale.</w:t>
            </w:r>
          </w:p>
        </w:tc>
      </w:tr>
      <w:tr w14:paraId="5E788FF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4F68546F">
            <w:pPr>
              <w:spacing w:before="60"/>
              <w:ind w:firstLine="0"/>
              <w:rPr>
                <w:rFonts w:eastAsia="SimSun" w:cs="Arial"/>
                <w:sz w:val="22"/>
                <w:lang w:val="ro-RO"/>
              </w:rPr>
            </w:pPr>
            <w:r>
              <w:rPr>
                <w:rFonts w:eastAsia="SimSun" w:cs="Arial"/>
                <w:sz w:val="22"/>
                <w:lang w:val="ro-RO"/>
              </w:rPr>
              <w:t>Accesul limitat la evenimente culturale în satele izolate. Impact: Disparități între sate, excluziune socială a comunităților rurale.</w:t>
            </w:r>
          </w:p>
        </w:tc>
        <w:tc>
          <w:tcPr>
            <w:tcW w:w="4662" w:type="dxa"/>
            <w:shd w:val="clear" w:color="auto" w:fill="F1F1F1" w:themeFill="background1" w:themeFillShade="F2"/>
          </w:tcPr>
          <w:p w14:paraId="27387E70">
            <w:pPr>
              <w:spacing w:before="60"/>
              <w:ind w:firstLine="0"/>
              <w:rPr>
                <w:rFonts w:eastAsia="SimSun" w:cs="Arial"/>
                <w:sz w:val="22"/>
                <w:lang w:val="ro-RO"/>
              </w:rPr>
            </w:pPr>
            <w:r>
              <w:rPr>
                <w:rFonts w:eastAsia="SimSun" w:cs="Arial"/>
                <w:sz w:val="22"/>
                <w:lang w:val="ro-RO"/>
              </w:rPr>
              <w:t>Caravana Culturală Mobilă:</w:t>
            </w:r>
          </w:p>
          <w:p w14:paraId="3D57592B">
            <w:pPr>
              <w:pStyle w:val="37"/>
              <w:numPr>
                <w:ilvl w:val="0"/>
                <w:numId w:val="4"/>
              </w:numPr>
              <w:spacing w:before="60"/>
              <w:rPr>
                <w:rFonts w:eastAsia="SimSun" w:cs="Arial"/>
                <w:sz w:val="22"/>
                <w:lang w:val="ro-RO"/>
              </w:rPr>
            </w:pPr>
            <w:r>
              <w:rPr>
                <w:rFonts w:eastAsia="SimSun" w:cs="Arial"/>
                <w:sz w:val="22"/>
                <w:lang w:val="ro-RO"/>
              </w:rPr>
              <w:t>Unitate echipată cu scenă, expoziții și echipamente audio-vizuale ce vizitează satele săptămânal.</w:t>
            </w:r>
          </w:p>
          <w:p w14:paraId="707BF525">
            <w:pPr>
              <w:pStyle w:val="37"/>
              <w:numPr>
                <w:ilvl w:val="0"/>
                <w:numId w:val="4"/>
              </w:numPr>
              <w:spacing w:before="60"/>
              <w:rPr>
                <w:rFonts w:eastAsia="SimSun" w:cs="Arial"/>
                <w:sz w:val="22"/>
                <w:lang w:val="ro-RO"/>
              </w:rPr>
            </w:pPr>
            <w:r>
              <w:rPr>
                <w:rFonts w:eastAsia="SimSun" w:cs="Arial"/>
                <w:sz w:val="22"/>
                <w:lang w:val="ro-RO"/>
              </w:rPr>
              <w:t>Parteneriate cu artiști locali pentru spectacole de teatru, folclor și proiecții de film.</w:t>
            </w:r>
          </w:p>
        </w:tc>
      </w:tr>
      <w:tr w14:paraId="70A1D270">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1D614243">
            <w:pPr>
              <w:spacing w:before="60"/>
              <w:ind w:firstLine="0"/>
              <w:rPr>
                <w:rFonts w:eastAsia="SimSun" w:cs="Arial"/>
                <w:sz w:val="22"/>
                <w:lang w:val="ro-RO"/>
              </w:rPr>
            </w:pPr>
            <w:r>
              <w:rPr>
                <w:rFonts w:eastAsia="SimSun" w:cs="Arial"/>
                <w:sz w:val="22"/>
                <w:lang w:val="ro-RO"/>
              </w:rPr>
              <w:t>Marketing slab și lipsa unui brand turistic unificat. Impact: Potențial nevalorificat al Insulei Șimian și al patrimoniului, vizitatori insuficienți.</w:t>
            </w:r>
          </w:p>
        </w:tc>
        <w:tc>
          <w:tcPr>
            <w:tcW w:w="4662" w:type="dxa"/>
            <w:shd w:val="clear" w:color="auto" w:fill="F1F1F1" w:themeFill="background1" w:themeFillShade="F2"/>
          </w:tcPr>
          <w:p w14:paraId="262E6168">
            <w:pPr>
              <w:spacing w:before="60"/>
              <w:ind w:firstLine="0"/>
              <w:rPr>
                <w:rFonts w:eastAsia="SimSun" w:cs="Arial"/>
                <w:sz w:val="22"/>
                <w:lang w:val="ro-RO"/>
              </w:rPr>
            </w:pPr>
            <w:r>
              <w:rPr>
                <w:rFonts w:eastAsia="SimSun" w:cs="Arial"/>
                <w:sz w:val="22"/>
                <w:lang w:val="ro-RO"/>
              </w:rPr>
              <w:t>Strategia “Șimian Experience”:</w:t>
            </w:r>
          </w:p>
          <w:p w14:paraId="02552DF4">
            <w:pPr>
              <w:pStyle w:val="37"/>
              <w:numPr>
                <w:ilvl w:val="0"/>
                <w:numId w:val="4"/>
              </w:numPr>
              <w:spacing w:before="60"/>
              <w:rPr>
                <w:rFonts w:eastAsia="SimSun" w:cs="Arial"/>
                <w:sz w:val="22"/>
                <w:lang w:val="ro-RO"/>
              </w:rPr>
            </w:pPr>
            <w:r>
              <w:rPr>
                <w:rFonts w:eastAsia="SimSun" w:cs="Arial"/>
                <w:sz w:val="22"/>
                <w:lang w:val="ro-RO"/>
              </w:rPr>
              <w:t>Includerea insulei Șimian și a cetății Ada Kaleh în circuitul turistic.</w:t>
            </w:r>
          </w:p>
          <w:p w14:paraId="5F743947">
            <w:pPr>
              <w:pStyle w:val="37"/>
              <w:numPr>
                <w:ilvl w:val="0"/>
                <w:numId w:val="4"/>
              </w:numPr>
              <w:spacing w:before="60"/>
              <w:rPr>
                <w:rFonts w:eastAsia="SimSun" w:cs="Arial"/>
                <w:sz w:val="22"/>
                <w:lang w:val="ro-RO"/>
              </w:rPr>
            </w:pPr>
            <w:r>
              <w:rPr>
                <w:rFonts w:eastAsia="SimSun" w:cs="Arial"/>
                <w:sz w:val="22"/>
                <w:lang w:val="ro-RO"/>
              </w:rPr>
              <w:t>Brand unificat cu logo, slogan și hartă digitală a obiectivelor.</w:t>
            </w:r>
          </w:p>
          <w:p w14:paraId="10BC56F4">
            <w:pPr>
              <w:pStyle w:val="37"/>
              <w:numPr>
                <w:ilvl w:val="0"/>
                <w:numId w:val="4"/>
              </w:numPr>
              <w:spacing w:before="60"/>
              <w:rPr>
                <w:rFonts w:eastAsia="SimSun" w:cs="Arial"/>
                <w:sz w:val="22"/>
                <w:lang w:val="ro-RO"/>
              </w:rPr>
            </w:pPr>
            <w:r>
              <w:rPr>
                <w:rFonts w:eastAsia="SimSun" w:cs="Arial"/>
                <w:sz w:val="22"/>
                <w:lang w:val="ro-RO"/>
              </w:rPr>
              <w:t>Platformă online cu tururi virtuale, rezervări integrate și promoții sezoniere.</w:t>
            </w:r>
          </w:p>
          <w:p w14:paraId="3737BEDC">
            <w:pPr>
              <w:pStyle w:val="37"/>
              <w:numPr>
                <w:ilvl w:val="0"/>
                <w:numId w:val="4"/>
              </w:numPr>
              <w:spacing w:before="60"/>
              <w:rPr>
                <w:rFonts w:eastAsia="SimSun" w:cs="Arial"/>
                <w:sz w:val="22"/>
                <w:lang w:val="ro-RO"/>
              </w:rPr>
            </w:pPr>
            <w:r>
              <w:rPr>
                <w:rFonts w:eastAsia="SimSun" w:cs="Arial"/>
                <w:sz w:val="22"/>
                <w:lang w:val="ro-RO"/>
              </w:rPr>
              <w:t>Campanii de promovare în localități învecinate (ex.: Drobeta Turnu Severin).</w:t>
            </w:r>
          </w:p>
        </w:tc>
      </w:tr>
      <w:tr w14:paraId="09786BE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0B130EB3">
            <w:pPr>
              <w:spacing w:before="60"/>
              <w:ind w:firstLine="0"/>
              <w:rPr>
                <w:rFonts w:eastAsia="SimSun" w:cs="Arial"/>
                <w:sz w:val="22"/>
                <w:lang w:val="ro-RO"/>
              </w:rPr>
            </w:pPr>
            <w:r>
              <w:rPr>
                <w:rFonts w:eastAsia="SimSun" w:cs="Arial"/>
                <w:sz w:val="22"/>
                <w:lang w:val="ro-RO"/>
              </w:rPr>
              <w:t>Infrastructură turistică insuficientă pe Insula Șimian. Impact: Acces dificil, lipsa facilităților de bază, pierderea oportunităților de ecoturism.</w:t>
            </w:r>
          </w:p>
        </w:tc>
        <w:tc>
          <w:tcPr>
            <w:tcW w:w="4662" w:type="dxa"/>
            <w:shd w:val="clear" w:color="auto" w:fill="F1F1F1" w:themeFill="background1" w:themeFillShade="F2"/>
          </w:tcPr>
          <w:p w14:paraId="4B37C2AB">
            <w:pPr>
              <w:spacing w:before="60"/>
              <w:ind w:firstLine="0"/>
              <w:rPr>
                <w:rFonts w:eastAsia="SimSun" w:cs="Arial"/>
                <w:sz w:val="22"/>
                <w:lang w:val="ro-RO"/>
              </w:rPr>
            </w:pPr>
            <w:r>
              <w:rPr>
                <w:rFonts w:eastAsia="SimSun" w:cs="Arial"/>
                <w:sz w:val="22"/>
                <w:lang w:val="ro-RO"/>
              </w:rPr>
              <w:t>Amenajarea Insulei Șimian ca Eco-Destinație:</w:t>
            </w:r>
          </w:p>
          <w:p w14:paraId="098C8ADD">
            <w:pPr>
              <w:pStyle w:val="37"/>
              <w:numPr>
                <w:ilvl w:val="0"/>
                <w:numId w:val="4"/>
              </w:numPr>
              <w:spacing w:before="60"/>
              <w:rPr>
                <w:rFonts w:eastAsia="SimSun" w:cs="Arial"/>
                <w:sz w:val="22"/>
                <w:lang w:val="ro-RO"/>
              </w:rPr>
            </w:pPr>
            <w:r>
              <w:rPr>
                <w:rFonts w:eastAsia="SimSun" w:cs="Arial"/>
                <w:sz w:val="22"/>
                <w:lang w:val="ro-RO"/>
              </w:rPr>
              <w:t>Pontonuri eco-friendly, centre de informare cu panouri solare și trasee interpretative.</w:t>
            </w:r>
          </w:p>
          <w:p w14:paraId="5A87F254">
            <w:pPr>
              <w:pStyle w:val="37"/>
              <w:numPr>
                <w:ilvl w:val="0"/>
                <w:numId w:val="4"/>
              </w:numPr>
              <w:spacing w:before="60"/>
              <w:rPr>
                <w:rFonts w:eastAsia="SimSun" w:cs="Arial"/>
                <w:sz w:val="22"/>
                <w:lang w:val="ro-RO"/>
              </w:rPr>
            </w:pPr>
            <w:r>
              <w:rPr>
                <w:rFonts w:eastAsia="SimSun" w:cs="Arial"/>
                <w:sz w:val="22"/>
                <w:lang w:val="ro-RO"/>
              </w:rPr>
              <w:t>Cabane modulare pentru cazare low-impact și observator avifaunistic.</w:t>
            </w:r>
          </w:p>
          <w:p w14:paraId="75278DD0">
            <w:pPr>
              <w:pStyle w:val="37"/>
              <w:numPr>
                <w:ilvl w:val="0"/>
                <w:numId w:val="4"/>
              </w:numPr>
              <w:spacing w:before="60"/>
              <w:rPr>
                <w:rFonts w:eastAsia="SimSun" w:cs="Arial"/>
                <w:sz w:val="22"/>
                <w:lang w:val="ro-RO"/>
              </w:rPr>
            </w:pPr>
            <w:r>
              <w:rPr>
                <w:rFonts w:eastAsia="SimSun" w:cs="Arial"/>
                <w:sz w:val="22"/>
                <w:lang w:val="ro-RO"/>
              </w:rPr>
              <w:t>Regulament strict pentru protecția biodiversității (ROSCI0420).</w:t>
            </w:r>
          </w:p>
        </w:tc>
      </w:tr>
    </w:tbl>
    <w:p w14:paraId="518A50C7">
      <w:pPr>
        <w:rPr>
          <w:rFonts w:cs="Arial"/>
          <w:sz w:val="22"/>
          <w:lang w:val="ro-RO"/>
        </w:rPr>
      </w:pPr>
    </w:p>
    <w:tbl>
      <w:tblPr>
        <w:tblStyle w:val="55"/>
        <w:tblW w:w="9322" w:type="dxa"/>
        <w:tblInd w:w="11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4660"/>
        <w:gridCol w:w="4662"/>
      </w:tblGrid>
      <w:tr w14:paraId="6375154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44546A" w:themeFill="text2"/>
            <w:vAlign w:val="center"/>
          </w:tcPr>
          <w:p w14:paraId="4B24AD6B">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PROVOCĂRI</w:t>
            </w:r>
          </w:p>
        </w:tc>
        <w:tc>
          <w:tcPr>
            <w:tcW w:w="4662" w:type="dxa"/>
            <w:shd w:val="clear" w:color="auto" w:fill="44546A" w:themeFill="text2"/>
            <w:vAlign w:val="center"/>
          </w:tcPr>
          <w:p w14:paraId="591DB351">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OPȚIUNI DE SOLUȚIONARE</w:t>
            </w:r>
          </w:p>
        </w:tc>
      </w:tr>
      <w:tr w14:paraId="1C06FF7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9322" w:type="dxa"/>
            <w:gridSpan w:val="2"/>
            <w:shd w:val="clear" w:color="auto" w:fill="E7E6E6" w:themeFill="background2"/>
            <w:vAlign w:val="center"/>
          </w:tcPr>
          <w:p w14:paraId="1DBDF905">
            <w:pPr>
              <w:spacing w:before="60"/>
              <w:jc w:val="center"/>
              <w:rPr>
                <w:rFonts w:eastAsia="SimSun" w:cs="Arial"/>
                <w:b/>
                <w:bCs/>
                <w:sz w:val="22"/>
                <w:lang w:val="ro-RO"/>
              </w:rPr>
            </w:pPr>
            <w:r>
              <w:rPr>
                <w:rFonts w:cs="Arial" w:eastAsiaTheme="minorEastAsia"/>
                <w:b/>
                <w:sz w:val="22"/>
                <w:lang w:val="ro-RO"/>
              </w:rPr>
              <w:t>Climă, Mediu și energie</w:t>
            </w:r>
          </w:p>
        </w:tc>
      </w:tr>
      <w:tr w14:paraId="3CB82BB8">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53828EF5">
            <w:pPr>
              <w:spacing w:before="60"/>
              <w:rPr>
                <w:rFonts w:eastAsia="SimSun" w:cs="Arial"/>
                <w:sz w:val="22"/>
                <w:lang w:val="ro-RO"/>
              </w:rPr>
            </w:pPr>
            <w:r>
              <w:rPr>
                <w:rFonts w:eastAsia="SimSun" w:cs="Arial"/>
                <w:sz w:val="22"/>
                <w:lang w:val="ro-RO"/>
              </w:rPr>
              <w:t>Riscuri crescute de inundații și eroziune pe Dunăre. Impact: Distrugerea terenurilor agricole, degradarea infrastructurii, pericol pentru comunitate.</w:t>
            </w:r>
          </w:p>
        </w:tc>
        <w:tc>
          <w:tcPr>
            <w:tcW w:w="4662" w:type="dxa"/>
            <w:shd w:val="clear" w:color="auto" w:fill="F1F1F1" w:themeFill="background1" w:themeFillShade="F2"/>
          </w:tcPr>
          <w:p w14:paraId="394DADD4">
            <w:pPr>
              <w:spacing w:before="60"/>
              <w:ind w:firstLine="0"/>
              <w:rPr>
                <w:rFonts w:eastAsia="SimSun" w:cs="Arial"/>
                <w:sz w:val="22"/>
                <w:lang w:val="ro-RO"/>
              </w:rPr>
            </w:pPr>
            <w:r>
              <w:rPr>
                <w:rFonts w:eastAsia="SimSun" w:cs="Arial"/>
                <w:sz w:val="22"/>
                <w:lang w:val="ro-RO"/>
              </w:rPr>
              <w:t>Amenajarea unui sistem integrat de protecție a malurilor:</w:t>
            </w:r>
          </w:p>
          <w:p w14:paraId="15ADABA8">
            <w:pPr>
              <w:pStyle w:val="37"/>
              <w:numPr>
                <w:ilvl w:val="0"/>
                <w:numId w:val="4"/>
              </w:numPr>
              <w:spacing w:before="60"/>
              <w:rPr>
                <w:rFonts w:eastAsia="SimSun" w:cs="Arial"/>
                <w:sz w:val="22"/>
                <w:lang w:val="ro-RO"/>
              </w:rPr>
            </w:pPr>
            <w:r>
              <w:rPr>
                <w:rFonts w:eastAsia="SimSun" w:cs="Arial"/>
                <w:sz w:val="22"/>
                <w:lang w:val="ro-RO"/>
              </w:rPr>
              <w:t>Construcția de diguri ecologice cu vegetație ripariană pe 5 km de mal;</w:t>
            </w:r>
          </w:p>
          <w:p w14:paraId="018AF21A">
            <w:pPr>
              <w:pStyle w:val="37"/>
              <w:numPr>
                <w:ilvl w:val="0"/>
                <w:numId w:val="4"/>
              </w:numPr>
              <w:spacing w:before="60"/>
              <w:rPr>
                <w:rFonts w:eastAsia="SimSun" w:cs="Arial"/>
                <w:sz w:val="22"/>
                <w:lang w:val="ro-RO"/>
              </w:rPr>
            </w:pPr>
            <w:r>
              <w:rPr>
                <w:rFonts w:eastAsia="SimSun" w:cs="Arial"/>
                <w:sz w:val="22"/>
                <w:lang w:val="ro-RO"/>
              </w:rPr>
              <w:t>Instalarea de stații automate de monitorizare a nivelului Dunării;</w:t>
            </w:r>
          </w:p>
          <w:p w14:paraId="52B31EFA">
            <w:pPr>
              <w:pStyle w:val="37"/>
              <w:numPr>
                <w:ilvl w:val="0"/>
                <w:numId w:val="4"/>
              </w:numPr>
              <w:spacing w:before="60"/>
              <w:rPr>
                <w:rFonts w:eastAsia="SimSun" w:cs="Arial"/>
                <w:sz w:val="22"/>
                <w:lang w:val="ro-RO"/>
              </w:rPr>
            </w:pPr>
            <w:r>
              <w:rPr>
                <w:rFonts w:eastAsia="SimSun" w:cs="Arial"/>
                <w:sz w:val="22"/>
                <w:lang w:val="ro-RO"/>
              </w:rPr>
              <w:t>Reabilitarea zonelor de luncă pentru retenție naturală a apelor.</w:t>
            </w:r>
          </w:p>
        </w:tc>
      </w:tr>
      <w:tr w14:paraId="083F974D">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007215F4">
            <w:pPr>
              <w:spacing w:before="60"/>
              <w:ind w:firstLine="0"/>
              <w:rPr>
                <w:rFonts w:eastAsia="SimSun" w:cs="Arial"/>
                <w:sz w:val="22"/>
                <w:lang w:val="ro-RO"/>
              </w:rPr>
            </w:pPr>
            <w:r>
              <w:rPr>
                <w:rFonts w:eastAsia="SimSun" w:cs="Arial"/>
                <w:sz w:val="22"/>
                <w:lang w:val="ro-RO"/>
              </w:rPr>
              <w:t>Degradarea solurilor și biodiversității în zonele agricole. Impact: Scăderea fertilității solului, pierderea polenizatorilor, reducerea producției agricole.</w:t>
            </w:r>
          </w:p>
        </w:tc>
        <w:tc>
          <w:tcPr>
            <w:tcW w:w="4662" w:type="dxa"/>
            <w:shd w:val="clear" w:color="auto" w:fill="F1F1F1" w:themeFill="background1" w:themeFillShade="F2"/>
          </w:tcPr>
          <w:p w14:paraId="6B1B3A78">
            <w:pPr>
              <w:spacing w:before="60"/>
              <w:ind w:firstLine="0"/>
              <w:rPr>
                <w:rFonts w:eastAsia="SimSun" w:cs="Arial"/>
                <w:sz w:val="22"/>
                <w:lang w:val="ro-RO"/>
              </w:rPr>
            </w:pPr>
            <w:r>
              <w:rPr>
                <w:rFonts w:eastAsia="SimSun" w:cs="Arial"/>
                <w:sz w:val="22"/>
                <w:lang w:val="ro-RO"/>
              </w:rPr>
              <w:t>Programul “Agricultură Regenerativă”:</w:t>
            </w:r>
          </w:p>
          <w:p w14:paraId="0E9EF646">
            <w:pPr>
              <w:pStyle w:val="37"/>
              <w:numPr>
                <w:ilvl w:val="0"/>
                <w:numId w:val="4"/>
              </w:numPr>
              <w:spacing w:before="60"/>
              <w:rPr>
                <w:rFonts w:eastAsia="SimSun" w:cs="Arial"/>
                <w:sz w:val="22"/>
                <w:lang w:val="ro-RO"/>
              </w:rPr>
            </w:pPr>
            <w:r>
              <w:rPr>
                <w:rFonts w:eastAsia="SimSun" w:cs="Arial"/>
                <w:sz w:val="22"/>
                <w:lang w:val="ro-RO"/>
              </w:rPr>
              <w:t>Promovarea practicilor agroecologice (rotație culturi, acoperire vegetală);</w:t>
            </w:r>
          </w:p>
          <w:p w14:paraId="035A8578">
            <w:pPr>
              <w:pStyle w:val="37"/>
              <w:numPr>
                <w:ilvl w:val="0"/>
                <w:numId w:val="4"/>
              </w:numPr>
              <w:spacing w:before="60"/>
              <w:rPr>
                <w:rFonts w:eastAsia="SimSun" w:cs="Arial"/>
                <w:sz w:val="22"/>
                <w:lang w:val="ro-RO"/>
              </w:rPr>
            </w:pPr>
            <w:r>
              <w:rPr>
                <w:rFonts w:eastAsia="SimSun" w:cs="Arial"/>
                <w:sz w:val="22"/>
                <w:lang w:val="ro-RO"/>
              </w:rPr>
              <w:t>Crearea de coridoare ecologice între terenurile agricole;</w:t>
            </w:r>
          </w:p>
          <w:p w14:paraId="33C0D888">
            <w:pPr>
              <w:pStyle w:val="37"/>
              <w:numPr>
                <w:ilvl w:val="0"/>
                <w:numId w:val="4"/>
              </w:numPr>
              <w:spacing w:before="60"/>
              <w:rPr>
                <w:rFonts w:eastAsia="SimSun" w:cs="Arial"/>
                <w:sz w:val="22"/>
                <w:lang w:val="ro-RO"/>
              </w:rPr>
            </w:pPr>
            <w:r>
              <w:rPr>
                <w:rFonts w:eastAsia="SimSun" w:cs="Arial"/>
                <w:sz w:val="22"/>
                <w:lang w:val="ro-RO"/>
              </w:rPr>
              <w:t xml:space="preserve">Acordarea de subvenții pentru fermierii </w:t>
            </w:r>
          </w:p>
        </w:tc>
      </w:tr>
      <w:tr w14:paraId="05E141B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461E821B">
            <w:pPr>
              <w:spacing w:before="60"/>
              <w:ind w:firstLine="0"/>
              <w:rPr>
                <w:rFonts w:eastAsia="SimSun" w:cs="Arial"/>
                <w:sz w:val="22"/>
                <w:lang w:val="ro-RO"/>
              </w:rPr>
            </w:pPr>
            <w:r>
              <w:rPr>
                <w:rFonts w:eastAsia="SimSun" w:cs="Arial"/>
                <w:sz w:val="22"/>
                <w:lang w:val="ro-RO"/>
              </w:rPr>
              <w:t>Dependența de combustibil lemnos pentru încălzire. Impact: Poluare aerului, defrișări ilegale, sărăcie energetică</w:t>
            </w:r>
          </w:p>
        </w:tc>
        <w:tc>
          <w:tcPr>
            <w:tcW w:w="4662" w:type="dxa"/>
            <w:shd w:val="clear" w:color="auto" w:fill="F1F1F1" w:themeFill="background1" w:themeFillShade="F2"/>
          </w:tcPr>
          <w:p w14:paraId="1C15EAD7">
            <w:pPr>
              <w:spacing w:before="60"/>
              <w:ind w:firstLine="0"/>
              <w:rPr>
                <w:rFonts w:eastAsia="SimSun" w:cs="Arial"/>
                <w:sz w:val="22"/>
                <w:lang w:val="ro-RO"/>
              </w:rPr>
            </w:pPr>
            <w:r>
              <w:rPr>
                <w:rFonts w:eastAsia="SimSun" w:cs="Arial"/>
                <w:sz w:val="22"/>
                <w:lang w:val="ro-RO"/>
              </w:rPr>
              <w:t>Extinderea rețelei de gaze naturale și promovarea pompelor de căldură:</w:t>
            </w:r>
          </w:p>
          <w:p w14:paraId="1F7ACCB3">
            <w:pPr>
              <w:pStyle w:val="37"/>
              <w:numPr>
                <w:ilvl w:val="0"/>
                <w:numId w:val="4"/>
              </w:numPr>
              <w:spacing w:before="60"/>
              <w:rPr>
                <w:rFonts w:eastAsia="SimSun" w:cs="Arial"/>
                <w:sz w:val="22"/>
                <w:lang w:val="ro-RO"/>
              </w:rPr>
            </w:pPr>
            <w:r>
              <w:rPr>
                <w:rFonts w:eastAsia="SimSun" w:cs="Arial"/>
                <w:sz w:val="22"/>
                <w:lang w:val="ro-RO"/>
              </w:rPr>
              <w:t>Racordarea gospodărilori rurale la rețeaua de gaz;</w:t>
            </w:r>
          </w:p>
          <w:p w14:paraId="4A36CB0F">
            <w:pPr>
              <w:pStyle w:val="37"/>
              <w:numPr>
                <w:ilvl w:val="0"/>
                <w:numId w:val="4"/>
              </w:numPr>
              <w:spacing w:before="60"/>
              <w:rPr>
                <w:rFonts w:eastAsia="SimSun" w:cs="Arial"/>
                <w:sz w:val="22"/>
                <w:lang w:val="ro-RO"/>
              </w:rPr>
            </w:pPr>
            <w:r>
              <w:rPr>
                <w:rFonts w:eastAsia="SimSun" w:cs="Arial"/>
                <w:sz w:val="22"/>
                <w:lang w:val="ro-RO"/>
              </w:rPr>
              <w:t>Instalarea de pompe de căldură aer-apă pentru locuințe izolate;</w:t>
            </w:r>
          </w:p>
          <w:p w14:paraId="1B722AD1">
            <w:pPr>
              <w:pStyle w:val="37"/>
              <w:numPr>
                <w:ilvl w:val="0"/>
                <w:numId w:val="4"/>
              </w:numPr>
              <w:spacing w:before="60"/>
              <w:rPr>
                <w:rFonts w:eastAsia="SimSun" w:cs="Arial"/>
                <w:sz w:val="22"/>
                <w:lang w:val="ro-RO"/>
              </w:rPr>
            </w:pPr>
            <w:r>
              <w:rPr>
                <w:rFonts w:eastAsia="SimSun" w:cs="Arial"/>
                <w:sz w:val="22"/>
                <w:lang w:val="ro-RO"/>
              </w:rPr>
              <w:t>Campanii de conștientizare cu experți ANRE.</w:t>
            </w:r>
          </w:p>
        </w:tc>
      </w:tr>
      <w:tr w14:paraId="26994934">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2DA295EC">
            <w:pPr>
              <w:spacing w:before="60" w:line="276" w:lineRule="auto"/>
              <w:ind w:firstLine="0"/>
              <w:rPr>
                <w:rFonts w:eastAsia="SimSun" w:cs="Arial"/>
                <w:sz w:val="22"/>
                <w:lang w:val="ro-RO"/>
              </w:rPr>
            </w:pPr>
            <w:r>
              <w:rPr>
                <w:rFonts w:eastAsia="SimSun" w:cs="Arial"/>
                <w:sz w:val="22"/>
                <w:lang w:val="ro-RO"/>
              </w:rPr>
              <w:t>Ineficiența energetică a clădirilor publice. Impact: Consumuri energetice peste medie, costuri mari pentru bugetul local</w:t>
            </w:r>
          </w:p>
        </w:tc>
        <w:tc>
          <w:tcPr>
            <w:tcW w:w="4662" w:type="dxa"/>
            <w:shd w:val="clear" w:color="auto" w:fill="F1F1F1" w:themeFill="background1" w:themeFillShade="F2"/>
          </w:tcPr>
          <w:p w14:paraId="7C445C1B">
            <w:pPr>
              <w:spacing w:before="60"/>
              <w:ind w:firstLine="0"/>
              <w:rPr>
                <w:rFonts w:eastAsia="SimSun" w:cs="Arial"/>
                <w:sz w:val="22"/>
                <w:lang w:val="ro-RO"/>
              </w:rPr>
            </w:pPr>
            <w:r>
              <w:rPr>
                <w:rFonts w:eastAsia="SimSun" w:cs="Arial"/>
                <w:sz w:val="22"/>
                <w:lang w:val="ro-RO"/>
              </w:rPr>
              <w:t>Reabilitarea energetică a clădirilor cheie:</w:t>
            </w:r>
          </w:p>
          <w:p w14:paraId="3C1B489B">
            <w:pPr>
              <w:pStyle w:val="37"/>
              <w:numPr>
                <w:ilvl w:val="0"/>
                <w:numId w:val="4"/>
              </w:numPr>
              <w:spacing w:before="60"/>
              <w:rPr>
                <w:rFonts w:eastAsia="SimSun" w:cs="Arial"/>
                <w:sz w:val="22"/>
                <w:lang w:val="ro-RO"/>
              </w:rPr>
            </w:pPr>
            <w:r>
              <w:rPr>
                <w:rFonts w:eastAsia="SimSun" w:cs="Arial"/>
                <w:sz w:val="22"/>
                <w:lang w:val="ro-RO"/>
              </w:rPr>
              <w:t>Modernizarea la standard nZEB a școlilor, primăriei și centrului de sănătate;</w:t>
            </w:r>
          </w:p>
          <w:p w14:paraId="7DBD3420">
            <w:pPr>
              <w:pStyle w:val="37"/>
              <w:numPr>
                <w:ilvl w:val="0"/>
                <w:numId w:val="4"/>
              </w:numPr>
              <w:spacing w:before="60"/>
              <w:rPr>
                <w:rFonts w:eastAsia="SimSun" w:cs="Arial"/>
                <w:sz w:val="22"/>
                <w:lang w:val="ro-RO"/>
              </w:rPr>
            </w:pPr>
            <w:r>
              <w:rPr>
                <w:rFonts w:eastAsia="SimSun" w:cs="Arial"/>
                <w:sz w:val="22"/>
                <w:lang w:val="ro-RO"/>
              </w:rPr>
              <w:t>Instalare panouri fotovoltaice pe acoperișuri (min. 50 kWp);</w:t>
            </w:r>
          </w:p>
          <w:p w14:paraId="515E380E">
            <w:pPr>
              <w:pStyle w:val="37"/>
              <w:numPr>
                <w:ilvl w:val="0"/>
                <w:numId w:val="4"/>
              </w:numPr>
              <w:spacing w:before="60"/>
              <w:rPr>
                <w:rFonts w:eastAsia="SimSun" w:cs="Arial"/>
                <w:sz w:val="22"/>
                <w:lang w:val="ro-RO"/>
              </w:rPr>
            </w:pPr>
            <w:r>
              <w:rPr>
                <w:rFonts w:eastAsia="SimSun" w:cs="Arial"/>
                <w:sz w:val="22"/>
                <w:lang w:val="ro-RO"/>
              </w:rPr>
              <w:t>Înlocuirea ferestrelor și a sistemelor de încălzire.</w:t>
            </w:r>
          </w:p>
        </w:tc>
      </w:tr>
      <w:tr w14:paraId="7081A59E">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24CDEEE4">
            <w:pPr>
              <w:spacing w:before="60" w:line="276" w:lineRule="auto"/>
              <w:rPr>
                <w:rFonts w:eastAsia="SimSun" w:cs="Arial"/>
                <w:sz w:val="22"/>
                <w:lang w:val="ro-RO"/>
              </w:rPr>
            </w:pPr>
            <w:r>
              <w:rPr>
                <w:rFonts w:eastAsia="SimSun" w:cs="Arial"/>
                <w:sz w:val="22"/>
                <w:lang w:val="ro-RO"/>
              </w:rPr>
              <w:t>Subutilizarea potențialului de energie regenerabilă. Impact: Dependență de surse fosile, pierdere de oportunități economice</w:t>
            </w:r>
          </w:p>
        </w:tc>
        <w:tc>
          <w:tcPr>
            <w:tcW w:w="4662" w:type="dxa"/>
            <w:shd w:val="clear" w:color="auto" w:fill="F1F1F1" w:themeFill="background1" w:themeFillShade="F2"/>
          </w:tcPr>
          <w:p w14:paraId="37FCB0D0">
            <w:pPr>
              <w:spacing w:before="60"/>
              <w:ind w:firstLine="0"/>
              <w:rPr>
                <w:rFonts w:eastAsia="SimSun" w:cs="Arial"/>
                <w:sz w:val="22"/>
                <w:lang w:val="ro-RO"/>
              </w:rPr>
            </w:pPr>
            <w:r>
              <w:rPr>
                <w:rFonts w:eastAsia="SimSun" w:cs="Arial"/>
                <w:sz w:val="22"/>
                <w:lang w:val="ro-RO"/>
              </w:rPr>
              <w:t>Dezvoltarea parcurilor fotovoltaice pe terenuri degradate:</w:t>
            </w:r>
          </w:p>
          <w:p w14:paraId="7B4B24E7">
            <w:pPr>
              <w:pStyle w:val="37"/>
              <w:numPr>
                <w:ilvl w:val="0"/>
                <w:numId w:val="4"/>
              </w:numPr>
              <w:spacing w:before="60"/>
              <w:rPr>
                <w:rFonts w:eastAsia="SimSun" w:cs="Arial"/>
                <w:sz w:val="22"/>
                <w:lang w:val="ro-RO"/>
              </w:rPr>
            </w:pPr>
            <w:r>
              <w:rPr>
                <w:rFonts w:eastAsia="SimSun" w:cs="Arial"/>
                <w:sz w:val="22"/>
                <w:lang w:val="ro-RO"/>
              </w:rPr>
              <w:t>Amenajarea a 10 ha cu panouri solare (capacitate 5 MW);</w:t>
            </w:r>
          </w:p>
          <w:p w14:paraId="7C45220B">
            <w:pPr>
              <w:pStyle w:val="37"/>
              <w:numPr>
                <w:ilvl w:val="0"/>
                <w:numId w:val="4"/>
              </w:numPr>
              <w:spacing w:before="60"/>
              <w:rPr>
                <w:rFonts w:eastAsia="SimSun" w:cs="Arial"/>
                <w:sz w:val="22"/>
                <w:lang w:val="ro-RO"/>
              </w:rPr>
            </w:pPr>
            <w:r>
              <w:rPr>
                <w:rFonts w:eastAsia="SimSun" w:cs="Arial"/>
                <w:sz w:val="22"/>
                <w:lang w:val="ro-RO"/>
              </w:rPr>
              <w:t>Sistem de stocare baterii pentru autoconsum comunitar;</w:t>
            </w:r>
          </w:p>
          <w:p w14:paraId="0B525488">
            <w:pPr>
              <w:pStyle w:val="37"/>
              <w:numPr>
                <w:ilvl w:val="0"/>
                <w:numId w:val="4"/>
              </w:numPr>
              <w:spacing w:before="60"/>
              <w:rPr>
                <w:rFonts w:eastAsia="SimSun" w:cs="Arial"/>
                <w:sz w:val="22"/>
                <w:lang w:val="ro-RO"/>
              </w:rPr>
            </w:pPr>
            <w:r>
              <w:rPr>
                <w:rFonts w:eastAsia="SimSun" w:cs="Arial"/>
                <w:sz w:val="22"/>
                <w:lang w:val="ro-RO"/>
              </w:rPr>
              <w:t>Parteneriat cu prosumatori locali pentru vânzare energie.</w:t>
            </w:r>
          </w:p>
        </w:tc>
      </w:tr>
    </w:tbl>
    <w:p w14:paraId="47EA0847">
      <w:pPr>
        <w:rPr>
          <w:rFonts w:cs="Arial"/>
          <w:sz w:val="22"/>
          <w:lang w:val="ro-RO"/>
        </w:rPr>
      </w:pPr>
    </w:p>
    <w:p w14:paraId="266F46CC">
      <w:pPr>
        <w:rPr>
          <w:rFonts w:cs="Arial"/>
          <w:sz w:val="22"/>
          <w:lang w:val="ro-RO"/>
        </w:rPr>
      </w:pPr>
    </w:p>
    <w:tbl>
      <w:tblPr>
        <w:tblStyle w:val="55"/>
        <w:tblW w:w="9322" w:type="dxa"/>
        <w:tblInd w:w="11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4660"/>
        <w:gridCol w:w="4662"/>
      </w:tblGrid>
      <w:tr w14:paraId="5DB8DDE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44546A" w:themeFill="text2"/>
            <w:vAlign w:val="center"/>
          </w:tcPr>
          <w:p w14:paraId="42746D5C">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PROVOCĂRI</w:t>
            </w:r>
          </w:p>
        </w:tc>
        <w:tc>
          <w:tcPr>
            <w:tcW w:w="4662" w:type="dxa"/>
            <w:shd w:val="clear" w:color="auto" w:fill="44546A" w:themeFill="text2"/>
            <w:vAlign w:val="center"/>
          </w:tcPr>
          <w:p w14:paraId="0794421C">
            <w:pPr>
              <w:wordWrap/>
              <w:spacing w:before="60" w:beforeLines="0" w:beforeAutospacing="0" w:afterLines="0" w:afterAutospacing="0"/>
              <w:jc w:val="center"/>
              <w:rPr>
                <w:rFonts w:eastAsia="SimSun" w:cs="Arial"/>
                <w:b/>
                <w:bCs/>
                <w:caps/>
                <w:smallCaps w:val="0"/>
                <w:color w:val="FFFFFF" w:themeColor="background1"/>
                <w:sz w:val="22"/>
                <w:lang w:val="ro-RO"/>
                <w14:textFill>
                  <w14:solidFill>
                    <w14:schemeClr w14:val="bg1"/>
                  </w14:solidFill>
                </w14:textFill>
              </w:rPr>
            </w:pPr>
            <w:r>
              <w:rPr>
                <w:rFonts w:eastAsia="SimSun" w:cs="Arial"/>
                <w:b/>
                <w:bCs/>
                <w:caps/>
                <w:smallCaps w:val="0"/>
                <w:color w:val="FFFFFF" w:themeColor="background1"/>
                <w:sz w:val="22"/>
                <w:lang w:val="ro-RO"/>
                <w14:textFill>
                  <w14:solidFill>
                    <w14:schemeClr w14:val="bg1"/>
                  </w14:solidFill>
                </w14:textFill>
              </w:rPr>
              <w:t>OPȚIUNI DE SOLUȚIONARE</w:t>
            </w:r>
          </w:p>
        </w:tc>
      </w:tr>
      <w:tr w14:paraId="1BA030BA">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9322" w:type="dxa"/>
            <w:gridSpan w:val="2"/>
            <w:shd w:val="clear" w:color="auto" w:fill="E7E6E6" w:themeFill="background2"/>
            <w:vAlign w:val="center"/>
          </w:tcPr>
          <w:p w14:paraId="182697F4">
            <w:pPr>
              <w:spacing w:before="60"/>
              <w:jc w:val="center"/>
              <w:rPr>
                <w:rFonts w:eastAsia="SimSun" w:cs="Arial"/>
                <w:b/>
                <w:bCs/>
                <w:sz w:val="22"/>
                <w:lang w:val="ro-RO"/>
              </w:rPr>
            </w:pPr>
            <w:r>
              <w:rPr>
                <w:rFonts w:cs="Arial" w:eastAsiaTheme="minorEastAsia"/>
                <w:b/>
                <w:sz w:val="22"/>
                <w:lang w:val="ro-RO"/>
              </w:rPr>
              <w:t>Resurse umane si demografie</w:t>
            </w:r>
          </w:p>
        </w:tc>
      </w:tr>
      <w:tr w14:paraId="0D64E6D7">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6B7A152D">
            <w:pPr>
              <w:spacing w:before="60"/>
              <w:ind w:firstLine="0"/>
              <w:rPr>
                <w:rFonts w:eastAsia="SimSun" w:cs="Arial"/>
                <w:sz w:val="22"/>
                <w:lang w:val="ro-RO"/>
              </w:rPr>
            </w:pPr>
            <w:r>
              <w:rPr>
                <w:rFonts w:eastAsia="SimSun" w:cs="Arial"/>
                <w:sz w:val="22"/>
                <w:lang w:val="ro-RO"/>
              </w:rPr>
              <w:t>Îmbătrânirea accelerată a populației. Impact: Scăderea populației active (15-64 ani), presiune pe serviciile sociale, risc de colaps demografic.</w:t>
            </w:r>
          </w:p>
        </w:tc>
        <w:tc>
          <w:tcPr>
            <w:tcW w:w="4662" w:type="dxa"/>
            <w:shd w:val="clear" w:color="auto" w:fill="F1F1F1" w:themeFill="background1" w:themeFillShade="F2"/>
          </w:tcPr>
          <w:p w14:paraId="1AE71232">
            <w:pPr>
              <w:spacing w:before="60"/>
              <w:ind w:firstLine="0"/>
              <w:rPr>
                <w:rFonts w:eastAsia="SimSun" w:cs="Arial"/>
                <w:sz w:val="22"/>
                <w:lang w:val="ro-RO"/>
              </w:rPr>
            </w:pPr>
            <w:r>
              <w:rPr>
                <w:rFonts w:eastAsia="SimSun" w:cs="Arial"/>
                <w:sz w:val="22"/>
                <w:lang w:val="ro-RO"/>
              </w:rPr>
              <w:t>Programul “Șimian Tânăr”:</w:t>
            </w:r>
          </w:p>
          <w:p w14:paraId="2DB1C203">
            <w:pPr>
              <w:pStyle w:val="37"/>
              <w:numPr>
                <w:ilvl w:val="0"/>
                <w:numId w:val="4"/>
              </w:numPr>
              <w:spacing w:before="60"/>
              <w:rPr>
                <w:rFonts w:eastAsia="SimSun" w:cs="Arial"/>
                <w:sz w:val="22"/>
                <w:lang w:val="ro-RO"/>
              </w:rPr>
            </w:pPr>
            <w:r>
              <w:rPr>
                <w:rFonts w:eastAsia="SimSun" w:cs="Arial"/>
                <w:sz w:val="22"/>
                <w:lang w:val="ro-RO"/>
              </w:rPr>
              <w:t>Bonusuri financiare pentru familiile cu minim 2 copii;</w:t>
            </w:r>
          </w:p>
          <w:p w14:paraId="176CA943">
            <w:pPr>
              <w:pStyle w:val="37"/>
              <w:numPr>
                <w:ilvl w:val="0"/>
                <w:numId w:val="4"/>
              </w:numPr>
              <w:spacing w:before="60"/>
              <w:rPr>
                <w:rFonts w:eastAsia="SimSun" w:cs="Arial"/>
                <w:sz w:val="22"/>
                <w:lang w:val="ro-RO"/>
              </w:rPr>
            </w:pPr>
            <w:r>
              <w:rPr>
                <w:rFonts w:eastAsia="SimSun" w:cs="Arial"/>
                <w:sz w:val="22"/>
                <w:lang w:val="ro-RO"/>
              </w:rPr>
              <w:t>Centre gratuite de zi pentru copii (0-3 ani) cu personal calificat;</w:t>
            </w:r>
          </w:p>
          <w:p w14:paraId="458B55BC">
            <w:pPr>
              <w:pStyle w:val="37"/>
              <w:numPr>
                <w:ilvl w:val="0"/>
                <w:numId w:val="4"/>
              </w:numPr>
              <w:spacing w:before="60"/>
              <w:rPr>
                <w:rFonts w:eastAsia="SimSun" w:cs="Arial"/>
                <w:sz w:val="22"/>
                <w:lang w:val="ro-RO"/>
              </w:rPr>
            </w:pPr>
            <w:r>
              <w:rPr>
                <w:rFonts w:eastAsia="SimSun" w:cs="Arial"/>
                <w:sz w:val="22"/>
                <w:lang w:val="ro-RO"/>
              </w:rPr>
              <w:t>Parteneriate cu universități pentru stagii practice pentru tineri.</w:t>
            </w:r>
          </w:p>
        </w:tc>
      </w:tr>
      <w:tr w14:paraId="0660D68D">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72F87BE7">
            <w:pPr>
              <w:spacing w:before="60"/>
              <w:ind w:firstLine="0"/>
              <w:rPr>
                <w:rFonts w:eastAsia="SimSun" w:cs="Arial"/>
                <w:sz w:val="22"/>
                <w:lang w:val="ro-RO"/>
              </w:rPr>
            </w:pPr>
            <w:r>
              <w:rPr>
                <w:rFonts w:eastAsia="SimSun" w:cs="Arial"/>
                <w:sz w:val="22"/>
                <w:lang w:val="ro-RO"/>
              </w:rPr>
              <w:t>Migrația masivă a tinerilor către orașe/străinătate. Impact: Pierderea capitalei umane, goluri în forța de muncă, saturi marginalizate.</w:t>
            </w:r>
          </w:p>
        </w:tc>
        <w:tc>
          <w:tcPr>
            <w:tcW w:w="4662" w:type="dxa"/>
            <w:shd w:val="clear" w:color="auto" w:fill="F1F1F1" w:themeFill="background1" w:themeFillShade="F2"/>
          </w:tcPr>
          <w:p w14:paraId="26764A1C">
            <w:pPr>
              <w:spacing w:before="60"/>
              <w:ind w:firstLine="0"/>
              <w:rPr>
                <w:rFonts w:eastAsia="SimSun" w:cs="Arial"/>
                <w:sz w:val="22"/>
                <w:lang w:val="ro-RO"/>
              </w:rPr>
            </w:pPr>
            <w:r>
              <w:rPr>
                <w:rFonts w:eastAsia="SimSun" w:cs="Arial"/>
                <w:sz w:val="22"/>
                <w:lang w:val="ro-RO"/>
              </w:rPr>
              <w:t>Inițiativa “Revenire Acasă”:</w:t>
            </w:r>
          </w:p>
          <w:p w14:paraId="2305DFC7">
            <w:pPr>
              <w:pStyle w:val="37"/>
              <w:numPr>
                <w:ilvl w:val="0"/>
                <w:numId w:val="4"/>
              </w:numPr>
              <w:spacing w:before="60"/>
              <w:rPr>
                <w:rFonts w:eastAsia="SimSun" w:cs="Arial"/>
                <w:sz w:val="22"/>
                <w:lang w:val="ro-RO"/>
              </w:rPr>
            </w:pPr>
            <w:r>
              <w:rPr>
                <w:rFonts w:eastAsia="SimSun" w:cs="Arial"/>
                <w:sz w:val="22"/>
                <w:lang w:val="ro-RO"/>
              </w:rPr>
              <w:t>Granturi de 10.000 EUR pentru tineri antreprenori care deschid IMM-uri în comune;</w:t>
            </w:r>
          </w:p>
          <w:p w14:paraId="110AC0AD">
            <w:pPr>
              <w:pStyle w:val="37"/>
              <w:numPr>
                <w:ilvl w:val="0"/>
                <w:numId w:val="4"/>
              </w:numPr>
              <w:spacing w:before="60"/>
              <w:rPr>
                <w:rFonts w:eastAsia="SimSun" w:cs="Arial"/>
                <w:sz w:val="22"/>
                <w:lang w:val="ro-RO"/>
              </w:rPr>
            </w:pPr>
            <w:r>
              <w:rPr>
                <w:rFonts w:eastAsia="SimSun" w:cs="Arial"/>
                <w:sz w:val="22"/>
                <w:lang w:val="ro-RO"/>
              </w:rPr>
              <w:t>Construcția de locuințe sociale cu chirie simbolică;</w:t>
            </w:r>
          </w:p>
          <w:p w14:paraId="41B636CB">
            <w:pPr>
              <w:pStyle w:val="37"/>
              <w:numPr>
                <w:ilvl w:val="0"/>
                <w:numId w:val="4"/>
              </w:numPr>
              <w:spacing w:before="60"/>
              <w:rPr>
                <w:rFonts w:eastAsia="SimSun" w:cs="Arial"/>
                <w:sz w:val="22"/>
                <w:lang w:val="ro-RO"/>
              </w:rPr>
            </w:pPr>
            <w:r>
              <w:rPr>
                <w:rFonts w:eastAsia="SimSun" w:cs="Arial"/>
                <w:sz w:val="22"/>
                <w:lang w:val="ro-RO"/>
              </w:rPr>
              <w:t>Centru coworking digital cu internet gratuit.</w:t>
            </w:r>
          </w:p>
        </w:tc>
      </w:tr>
      <w:tr w14:paraId="06A25A4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4C1399AB">
            <w:pPr>
              <w:spacing w:before="60"/>
              <w:ind w:firstLine="0"/>
              <w:rPr>
                <w:rFonts w:eastAsia="SimSun" w:cs="Arial"/>
                <w:sz w:val="22"/>
                <w:lang w:val="ro-RO"/>
              </w:rPr>
            </w:pPr>
            <w:r>
              <w:rPr>
                <w:rFonts w:eastAsia="SimSun" w:cs="Arial"/>
                <w:sz w:val="22"/>
                <w:lang w:val="ro-RO"/>
              </w:rPr>
              <w:t>Posibilitate de creștere a ratei șomajului, in special in randul tinerilor. Impact: Riscuri sociale, dependență de ajutoare, pierdere potențial economic</w:t>
            </w:r>
          </w:p>
        </w:tc>
        <w:tc>
          <w:tcPr>
            <w:tcW w:w="4662" w:type="dxa"/>
            <w:shd w:val="clear" w:color="auto" w:fill="F1F1F1" w:themeFill="background1" w:themeFillShade="F2"/>
          </w:tcPr>
          <w:p w14:paraId="4936A7B2">
            <w:pPr>
              <w:spacing w:before="60"/>
              <w:ind w:firstLine="0"/>
              <w:rPr>
                <w:rFonts w:eastAsia="SimSun" w:cs="Arial"/>
                <w:sz w:val="22"/>
                <w:lang w:val="ro-RO"/>
              </w:rPr>
            </w:pPr>
            <w:r>
              <w:rPr>
                <w:rFonts w:eastAsia="SimSun" w:cs="Arial"/>
                <w:sz w:val="22"/>
                <w:lang w:val="ro-RO"/>
              </w:rPr>
              <w:t>Cursuri gratuite de calificare în agricultură, turism și energie verde; Garantarea de locuri de muncă prin parteneriate cu firme locale; Ajutor de încadrare primele 6 luni pentru angajatori.</w:t>
            </w:r>
          </w:p>
          <w:p w14:paraId="26FB02AC">
            <w:pPr>
              <w:spacing w:before="60"/>
              <w:ind w:firstLine="0"/>
              <w:rPr>
                <w:rFonts w:eastAsia="SimSun" w:cs="Arial"/>
                <w:sz w:val="22"/>
                <w:lang w:val="ro-RO"/>
              </w:rPr>
            </w:pPr>
          </w:p>
        </w:tc>
      </w:tr>
      <w:tr w14:paraId="21068705">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1D6D13F5">
            <w:pPr>
              <w:spacing w:before="60" w:line="276" w:lineRule="auto"/>
              <w:ind w:firstLine="0"/>
              <w:rPr>
                <w:rFonts w:eastAsia="SimSun" w:cs="Arial"/>
                <w:sz w:val="22"/>
                <w:lang w:val="ro-RO"/>
              </w:rPr>
            </w:pPr>
            <w:r>
              <w:rPr>
                <w:rFonts w:eastAsia="SimSun" w:cs="Arial"/>
                <w:sz w:val="22"/>
                <w:lang w:val="ro-RO"/>
              </w:rPr>
              <w:t>Neconcordanța dintre calificări și cerințele pieței. Impact: Posturi neocupate în sectoare cheie (IT, energie).</w:t>
            </w:r>
          </w:p>
        </w:tc>
        <w:tc>
          <w:tcPr>
            <w:tcW w:w="4662" w:type="dxa"/>
            <w:shd w:val="clear" w:color="auto" w:fill="F1F1F1" w:themeFill="background1" w:themeFillShade="F2"/>
          </w:tcPr>
          <w:p w14:paraId="7F01DD2A">
            <w:pPr>
              <w:spacing w:before="60"/>
              <w:ind w:firstLine="0"/>
              <w:rPr>
                <w:rFonts w:eastAsia="SimSun" w:cs="Arial"/>
                <w:sz w:val="22"/>
                <w:lang w:val="ro-RO"/>
              </w:rPr>
            </w:pPr>
            <w:r>
              <w:rPr>
                <w:rFonts w:eastAsia="SimSun" w:cs="Arial"/>
                <w:sz w:val="22"/>
                <w:lang w:val="ro-RO"/>
              </w:rPr>
              <w:t>Cartografiere digitală a competențelor și nevoilor localilor; Cursuri accelerate în domenii deficitare (digitalizare, agro-turism); Certificări recunoscute național.</w:t>
            </w:r>
          </w:p>
          <w:p w14:paraId="7CA35526">
            <w:pPr>
              <w:spacing w:before="60"/>
              <w:ind w:firstLine="0"/>
              <w:rPr>
                <w:rFonts w:eastAsia="SimSun" w:cs="Arial"/>
                <w:sz w:val="22"/>
                <w:lang w:val="ro-RO"/>
              </w:rPr>
            </w:pPr>
          </w:p>
        </w:tc>
      </w:tr>
      <w:tr w14:paraId="3F61F4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cantSplit/>
        </w:trPr>
        <w:tc>
          <w:tcPr>
            <w:tcW w:w="4660" w:type="dxa"/>
            <w:shd w:val="clear" w:color="auto" w:fill="F1F1F1" w:themeFill="background1" w:themeFillShade="F2"/>
          </w:tcPr>
          <w:p w14:paraId="12769A2B">
            <w:pPr>
              <w:spacing w:before="60" w:line="276" w:lineRule="auto"/>
              <w:ind w:firstLine="0"/>
              <w:rPr>
                <w:rFonts w:eastAsia="SimSun" w:cs="Arial"/>
                <w:sz w:val="22"/>
                <w:lang w:val="ro-RO"/>
              </w:rPr>
            </w:pPr>
            <w:r>
              <w:rPr>
                <w:rFonts w:eastAsia="SimSun" w:cs="Arial"/>
                <w:sz w:val="22"/>
                <w:lang w:val="ro-RO"/>
              </w:rPr>
              <w:t>Acces redus la educație continuă în satele izolate. Impact: Marginalizare profesională, dificultăți în reconversie.</w:t>
            </w:r>
          </w:p>
        </w:tc>
        <w:tc>
          <w:tcPr>
            <w:tcW w:w="4662" w:type="dxa"/>
            <w:shd w:val="clear" w:color="auto" w:fill="F1F1F1" w:themeFill="background1" w:themeFillShade="F2"/>
          </w:tcPr>
          <w:p w14:paraId="444A5F4D">
            <w:pPr>
              <w:spacing w:before="60"/>
              <w:ind w:firstLine="0"/>
              <w:rPr>
                <w:rFonts w:eastAsia="SimSun" w:cs="Arial"/>
                <w:sz w:val="22"/>
                <w:lang w:val="ro-RO"/>
              </w:rPr>
            </w:pPr>
            <w:r>
              <w:rPr>
                <w:rFonts w:eastAsia="SimSun" w:cs="Arial"/>
                <w:sz w:val="22"/>
                <w:lang w:val="ro-RO"/>
              </w:rPr>
              <w:t>Programul Școala Mobilă “Învățământ la Tine”:</w:t>
            </w:r>
          </w:p>
          <w:p w14:paraId="78CAC1EE">
            <w:pPr>
              <w:pStyle w:val="37"/>
              <w:numPr>
                <w:ilvl w:val="0"/>
                <w:numId w:val="4"/>
              </w:numPr>
              <w:spacing w:before="60"/>
              <w:rPr>
                <w:rFonts w:eastAsia="SimSun" w:cs="Arial"/>
                <w:sz w:val="22"/>
                <w:lang w:val="ro-RO"/>
              </w:rPr>
            </w:pPr>
            <w:r>
              <w:rPr>
                <w:rFonts w:eastAsia="SimSun" w:cs="Arial"/>
                <w:sz w:val="22"/>
                <w:lang w:val="ro-RO"/>
              </w:rPr>
              <w:t>Autobuz echipat cu tablete, proiectoare și trainer;</w:t>
            </w:r>
          </w:p>
          <w:p w14:paraId="16E25032">
            <w:pPr>
              <w:pStyle w:val="37"/>
              <w:numPr>
                <w:ilvl w:val="0"/>
                <w:numId w:val="4"/>
              </w:numPr>
              <w:spacing w:before="60"/>
              <w:rPr>
                <w:rFonts w:eastAsia="SimSun" w:cs="Arial"/>
                <w:sz w:val="22"/>
                <w:lang w:val="ro-RO"/>
              </w:rPr>
            </w:pPr>
            <w:r>
              <w:rPr>
                <w:rFonts w:eastAsia="SimSun" w:cs="Arial"/>
                <w:sz w:val="22"/>
                <w:lang w:val="ro-RO"/>
              </w:rPr>
              <w:t>Cursuri în sate (digitalizare, gestionare afaceri, limbi străine);</w:t>
            </w:r>
          </w:p>
          <w:p w14:paraId="6B0524CE">
            <w:pPr>
              <w:pStyle w:val="37"/>
              <w:numPr>
                <w:ilvl w:val="0"/>
                <w:numId w:val="4"/>
              </w:numPr>
              <w:spacing w:before="60"/>
              <w:rPr>
                <w:rFonts w:eastAsia="SimSun" w:cs="Arial"/>
                <w:sz w:val="22"/>
                <w:lang w:val="ro-RO"/>
              </w:rPr>
            </w:pPr>
            <w:r>
              <w:rPr>
                <w:rFonts w:eastAsia="SimSun" w:cs="Arial"/>
                <w:sz w:val="22"/>
                <w:lang w:val="ro-RO"/>
              </w:rPr>
              <w:t>Parteneriat cu ANOFM pentru acreditări.</w:t>
            </w:r>
          </w:p>
        </w:tc>
      </w:tr>
    </w:tbl>
    <w:p w14:paraId="7878015F">
      <w:pPr>
        <w:rPr>
          <w:rFonts w:cs="Arial"/>
          <w:sz w:val="22"/>
          <w:lang w:val="ro-RO"/>
        </w:rPr>
      </w:pPr>
    </w:p>
    <w:p w14:paraId="090DCDB9">
      <w:pPr>
        <w:pStyle w:val="3"/>
        <w:numPr>
          <w:ilvl w:val="1"/>
          <w:numId w:val="8"/>
        </w:numPr>
        <w:rPr>
          <w:rFonts w:cs="Arial"/>
          <w:sz w:val="22"/>
          <w:szCs w:val="22"/>
          <w:lang w:val="ro-RO"/>
        </w:rPr>
      </w:pPr>
      <w:bookmarkStart w:id="62" w:name="_Toc201926332"/>
      <w:r>
        <w:rPr>
          <w:rFonts w:cs="Arial"/>
          <w:sz w:val="22"/>
          <w:szCs w:val="22"/>
          <w:lang w:val="ro-RO"/>
        </w:rPr>
        <w:t>RISCURI SI MASURI DE ATENUARE A RISCURILOR</w:t>
      </w:r>
      <w:bookmarkEnd w:id="62"/>
    </w:p>
    <w:p w14:paraId="11B591FF">
      <w:pPr>
        <w:rPr>
          <w:rFonts w:cs="Arial"/>
          <w:sz w:val="22"/>
          <w:lang w:val="ro-RO"/>
        </w:rPr>
      </w:pPr>
    </w:p>
    <w:p w14:paraId="0A305099">
      <w:pPr>
        <w:rPr>
          <w:rFonts w:cs="Arial"/>
          <w:sz w:val="22"/>
          <w:lang w:val="ro-RO"/>
        </w:rPr>
      </w:pPr>
      <w:r>
        <w:rPr>
          <w:rFonts w:cs="Arial"/>
          <w:sz w:val="22"/>
          <w:lang w:val="ro-RO"/>
        </w:rPr>
        <w:t>Succesul implementării Strategiei de Dezvoltare a Comunei Șimian 2027 depinde atât de resursele financiare disponibile, cât și de calitatea echipei responsabile de managementul și monitorizarea strategiei. Pentru a asigura o implementare eficientă, structura de coordonare va include persoane cu experiență relevantă în gestionarea proiectelor și cu pregătire specifică în domeniile vizate de strategie.</w:t>
      </w:r>
    </w:p>
    <w:p w14:paraId="7A90C4D6">
      <w:pPr>
        <w:rPr>
          <w:rFonts w:cs="Arial"/>
          <w:sz w:val="22"/>
          <w:lang w:val="ro-RO"/>
        </w:rPr>
      </w:pPr>
      <w:r>
        <w:rPr>
          <w:rFonts w:cs="Arial"/>
          <w:sz w:val="22"/>
          <w:lang w:val="ro-RO"/>
        </w:rPr>
        <w:t>Procesul de implementare a proiectelor și măsurilor strategice poate fi afectat de o serie de riscuri, care trebuie identificate, analizate și gestionate încă din faza de planificare, conform recomandărilor din Ghidul ADR și din bunele practici europene. Aceste riscuri pot fi de natură tehnică (întârzieri în execuție, neconcordanțe între execuție și documentația tehnică), financiară (depasirea bugetelor, creșterea prețurilor materialelor), de calitate (diferențe între specificațiile tehnice și materialele folosite), dar și legate de participarea comunității (dezinteres față de consultări, rezistență la schimbare, implicare redusă a partenerilor).</w:t>
      </w:r>
    </w:p>
    <w:p w14:paraId="1EDC3BFB">
      <w:pPr>
        <w:rPr>
          <w:rFonts w:cs="Arial"/>
          <w:sz w:val="22"/>
          <w:lang w:val="ro-RO"/>
        </w:rPr>
      </w:pPr>
      <w:r>
        <w:rPr>
          <w:rFonts w:cs="Arial"/>
          <w:sz w:val="22"/>
          <w:lang w:val="ro-RO"/>
        </w:rPr>
        <w:t>Pentru a minimiza aceste riscuri, este esențială adoptarea unui management al riscului structurat și continuu, care să includă:</w:t>
      </w:r>
    </w:p>
    <w:p w14:paraId="01F5D7CA">
      <w:pPr>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identificarea și evaluarea riscurilor la fiecare etapă a proiectului,</w:t>
      </w:r>
    </w:p>
    <w:p w14:paraId="4F641E6C">
      <w:pPr>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elaborarea unui plan de control și răspuns pentru fiecare tip de risc,</w:t>
      </w:r>
    </w:p>
    <w:p w14:paraId="4EEFFE5C">
      <w:pPr>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comunicarea eficientă a evoluției riscurilor în cadrul echipei și cu partenerii implicați,</w:t>
      </w:r>
    </w:p>
    <w:p w14:paraId="67FDFA31">
      <w:pPr>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actualizarea permanentă a planului de management al riscurilor pe parcursul implementării proiectelor.</w:t>
      </w:r>
    </w:p>
    <w:p w14:paraId="157423C9">
      <w:pPr>
        <w:rPr>
          <w:rFonts w:cs="Arial"/>
          <w:sz w:val="22"/>
          <w:lang w:val="ro-RO"/>
        </w:rPr>
      </w:pPr>
      <w:r>
        <w:rPr>
          <w:rFonts w:cs="Arial"/>
          <w:sz w:val="22"/>
          <w:lang w:val="ro-RO"/>
        </w:rPr>
        <w:t>De asemenea, pentru creșterea șanselor de reușită, este importantă implicarea activă a comunității locale în toate etapele strategiei, de la consultare și prioritizare până la monitorizare și evaluare, astfel încât soluțiile propuse să răspundă real nevoilor și așteptărilor cetățenilor. Participarea civică, transparența decizională și colaborarea cu partenerii locali și regionali vor asigura relevanța și sustenabilitatea măsurilor implementate.</w:t>
      </w:r>
    </w:p>
    <w:p w14:paraId="30F30229">
      <w:pPr>
        <w:rPr>
          <w:rFonts w:cs="Arial"/>
          <w:sz w:val="22"/>
          <w:lang w:val="ro-RO"/>
        </w:rPr>
      </w:pPr>
      <w:r>
        <w:rPr>
          <w:rFonts w:cs="Arial"/>
          <w:sz w:val="22"/>
          <w:lang w:val="ro-RO"/>
        </w:rPr>
        <w:t>În concluzie, implementarea cu succes a Strategiei de Dezvoltare a Comunei Șimian 2027 presupune nu doar resurse financiare adecvate, ci și o echipă profesionistă, un management riguros al riscurilor și o implicare reală a comunității, toate acestea fiind în concordanță cu cerințele Ghidului ADR și cu bunele practici europene în domeniu</w:t>
      </w:r>
    </w:p>
    <w:p w14:paraId="7B62D6D9">
      <w:pPr>
        <w:rPr>
          <w:rFonts w:cs="Arial"/>
          <w:sz w:val="22"/>
          <w:lang w:val="ro-RO"/>
        </w:rPr>
      </w:pPr>
    </w:p>
    <w:p w14:paraId="09BF2485">
      <w:pPr>
        <w:pStyle w:val="4"/>
        <w:numPr>
          <w:ilvl w:val="2"/>
          <w:numId w:val="8"/>
        </w:numPr>
        <w:spacing w:before="0"/>
        <w:ind w:left="0" w:firstLine="720"/>
        <w:rPr>
          <w:rFonts w:cs="Arial"/>
          <w:sz w:val="22"/>
          <w:szCs w:val="22"/>
          <w:lang w:val="ro-RO"/>
        </w:rPr>
      </w:pPr>
      <w:bookmarkStart w:id="63" w:name="_Toc201926333"/>
      <w:bookmarkStart w:id="64" w:name="OLE_LINK21"/>
      <w:r>
        <w:rPr>
          <w:rFonts w:cs="Arial"/>
          <w:sz w:val="22"/>
          <w:szCs w:val="22"/>
          <w:lang w:val="ro-RO"/>
        </w:rPr>
        <w:t>Analiza riscurilor</w:t>
      </w:r>
      <w:bookmarkEnd w:id="63"/>
    </w:p>
    <w:p w14:paraId="0FDAA7AA">
      <w:pPr>
        <w:rPr>
          <w:rFonts w:cs="Arial"/>
          <w:sz w:val="22"/>
          <w:lang w:val="ro-RO"/>
        </w:rPr>
      </w:pPr>
      <w:r>
        <w:rPr>
          <w:rFonts w:cs="Arial"/>
          <w:sz w:val="22"/>
          <w:lang w:val="ro-RO"/>
        </w:rPr>
        <w:t>Riscuri tehnice:</w:t>
      </w:r>
    </w:p>
    <w:p w14:paraId="525ED250">
      <w:pPr>
        <w:rPr>
          <w:rFonts w:cs="Arial"/>
          <w:sz w:val="22"/>
          <w:lang w:val="ro-RO"/>
        </w:rPr>
      </w:pPr>
      <w:r>
        <w:rPr>
          <w:rFonts w:cs="Arial"/>
          <w:sz w:val="22"/>
          <w:lang w:val="ro-RO"/>
        </w:rPr>
        <w:t>•</w:t>
      </w:r>
      <w:r>
        <w:rPr>
          <w:rFonts w:cs="Arial"/>
          <w:sz w:val="22"/>
          <w:lang w:val="ro-RO"/>
        </w:rPr>
        <w:tab/>
      </w:r>
      <w:r>
        <w:rPr>
          <w:rFonts w:cs="Arial"/>
          <w:sz w:val="22"/>
          <w:lang w:val="ro-RO"/>
        </w:rPr>
        <w:t>Întârzieri în execuția lucrărilor și depășirea graficului de lucrări;</w:t>
      </w:r>
    </w:p>
    <w:p w14:paraId="1AB731B0">
      <w:pPr>
        <w:rPr>
          <w:rFonts w:cs="Arial"/>
          <w:sz w:val="22"/>
          <w:lang w:val="ro-RO"/>
        </w:rPr>
      </w:pPr>
      <w:r>
        <w:rPr>
          <w:rFonts w:cs="Arial"/>
          <w:sz w:val="22"/>
          <w:lang w:val="ro-RO"/>
        </w:rPr>
        <w:t>•</w:t>
      </w:r>
      <w:r>
        <w:rPr>
          <w:rFonts w:cs="Arial"/>
          <w:sz w:val="22"/>
          <w:lang w:val="ro-RO"/>
        </w:rPr>
        <w:tab/>
      </w:r>
      <w:r>
        <w:rPr>
          <w:rFonts w:cs="Arial"/>
          <w:sz w:val="22"/>
          <w:lang w:val="ro-RO"/>
        </w:rPr>
        <w:t>Neconcordanțe între excuție și documentația tehnică care stă la baza proiectului</w:t>
      </w:r>
    </w:p>
    <w:p w14:paraId="00F9F2A0">
      <w:pPr>
        <w:rPr>
          <w:rFonts w:cs="Arial"/>
          <w:sz w:val="22"/>
          <w:lang w:val="ro-RO"/>
        </w:rPr>
      </w:pPr>
      <w:r>
        <w:rPr>
          <w:rFonts w:cs="Arial"/>
          <w:sz w:val="22"/>
          <w:lang w:val="ro-RO"/>
        </w:rPr>
        <w:t>Riscuri financiare:</w:t>
      </w:r>
    </w:p>
    <w:p w14:paraId="0FDD94C2">
      <w:pPr>
        <w:rPr>
          <w:rFonts w:cs="Arial"/>
          <w:sz w:val="22"/>
          <w:lang w:val="ro-RO"/>
        </w:rPr>
      </w:pPr>
      <w:r>
        <w:rPr>
          <w:rFonts w:cs="Arial"/>
          <w:sz w:val="22"/>
          <w:lang w:val="ro-RO"/>
        </w:rPr>
        <w:t>•</w:t>
      </w:r>
      <w:r>
        <w:rPr>
          <w:rFonts w:cs="Arial"/>
          <w:sz w:val="22"/>
          <w:lang w:val="ro-RO"/>
        </w:rPr>
        <w:tab/>
      </w:r>
      <w:r>
        <w:rPr>
          <w:rFonts w:cs="Arial"/>
          <w:sz w:val="22"/>
          <w:lang w:val="ro-RO"/>
        </w:rPr>
        <w:t>Depășirea bugetelor alocate pe activități sau lucrări;</w:t>
      </w:r>
    </w:p>
    <w:p w14:paraId="42A08588">
      <w:pPr>
        <w:rPr>
          <w:rFonts w:cs="Arial"/>
          <w:sz w:val="22"/>
          <w:lang w:val="ro-RO"/>
        </w:rPr>
      </w:pPr>
      <w:r>
        <w:rPr>
          <w:rFonts w:cs="Arial"/>
          <w:sz w:val="22"/>
          <w:lang w:val="ro-RO"/>
        </w:rPr>
        <w:t>•</w:t>
      </w:r>
      <w:r>
        <w:rPr>
          <w:rFonts w:cs="Arial"/>
          <w:sz w:val="22"/>
          <w:lang w:val="ro-RO"/>
        </w:rPr>
        <w:tab/>
      </w:r>
      <w:r>
        <w:rPr>
          <w:rFonts w:cs="Arial"/>
          <w:sz w:val="22"/>
          <w:lang w:val="ro-RO"/>
        </w:rPr>
        <w:t>Creșteri ale prețurilor materialelor de construcții care au fost previzionate, ceea ce determină insuficiența resurselor financiare comparativ cu bugetul.</w:t>
      </w:r>
    </w:p>
    <w:p w14:paraId="232F9A72">
      <w:pPr>
        <w:rPr>
          <w:rFonts w:cs="Arial"/>
          <w:sz w:val="22"/>
          <w:lang w:val="ro-RO"/>
        </w:rPr>
      </w:pPr>
      <w:r>
        <w:rPr>
          <w:rFonts w:cs="Arial"/>
          <w:sz w:val="22"/>
          <w:lang w:val="ro-RO"/>
        </w:rPr>
        <w:t>Riscuri privind calitatea:</w:t>
      </w:r>
    </w:p>
    <w:p w14:paraId="7444D616">
      <w:pPr>
        <w:rPr>
          <w:rFonts w:cs="Arial"/>
          <w:sz w:val="22"/>
          <w:lang w:val="ro-RO"/>
        </w:rPr>
      </w:pPr>
      <w:r>
        <w:rPr>
          <w:rFonts w:cs="Arial"/>
          <w:sz w:val="22"/>
          <w:lang w:val="ro-RO"/>
        </w:rPr>
        <w:t>•</w:t>
      </w:r>
      <w:r>
        <w:rPr>
          <w:rFonts w:cs="Arial"/>
          <w:sz w:val="22"/>
          <w:lang w:val="ro-RO"/>
        </w:rPr>
        <w:tab/>
      </w:r>
      <w:r>
        <w:rPr>
          <w:rFonts w:cs="Arial"/>
          <w:sz w:val="22"/>
          <w:lang w:val="ro-RO"/>
        </w:rPr>
        <w:t>Neconcordanța între specificațiile tehnice ale materialelor și calitatea materialelor folosite la lucraări.</w:t>
      </w:r>
    </w:p>
    <w:p w14:paraId="0FD5FF8F">
      <w:pPr>
        <w:rPr>
          <w:rFonts w:cs="Arial"/>
          <w:sz w:val="22"/>
          <w:lang w:val="ro-RO"/>
        </w:rPr>
      </w:pPr>
      <w:r>
        <w:rPr>
          <w:rFonts w:cs="Arial"/>
          <w:sz w:val="22"/>
          <w:lang w:val="ro-RO"/>
        </w:rPr>
        <w:t>Riscuri privind abordarea participativă:</w:t>
      </w:r>
    </w:p>
    <w:p w14:paraId="1FB9C447">
      <w:pPr>
        <w:rPr>
          <w:rFonts w:cs="Arial"/>
          <w:sz w:val="22"/>
          <w:lang w:val="ro-RO"/>
        </w:rPr>
      </w:pPr>
      <w:r>
        <w:rPr>
          <w:rFonts w:cs="Arial"/>
          <w:sz w:val="22"/>
          <w:lang w:val="ro-RO"/>
        </w:rPr>
        <w:t>•</w:t>
      </w:r>
      <w:r>
        <w:rPr>
          <w:rFonts w:cs="Arial"/>
          <w:sz w:val="22"/>
          <w:lang w:val="ro-RO"/>
        </w:rPr>
        <w:tab/>
      </w:r>
      <w:r>
        <w:rPr>
          <w:rFonts w:cs="Arial"/>
          <w:sz w:val="22"/>
          <w:lang w:val="ro-RO"/>
        </w:rPr>
        <w:t>Dezinteres sau rezistentață din partea comunității cu privire la unele proiecte sau soluții propuse;</w:t>
      </w:r>
    </w:p>
    <w:p w14:paraId="34AB9B87">
      <w:pPr>
        <w:rPr>
          <w:rFonts w:cs="Arial"/>
          <w:sz w:val="22"/>
          <w:lang w:val="ro-RO"/>
        </w:rPr>
      </w:pPr>
      <w:r>
        <w:rPr>
          <w:rFonts w:cs="Arial"/>
          <w:sz w:val="22"/>
          <w:lang w:val="ro-RO"/>
        </w:rPr>
        <w:t>•</w:t>
      </w:r>
      <w:r>
        <w:rPr>
          <w:rFonts w:cs="Arial"/>
          <w:sz w:val="22"/>
          <w:lang w:val="ro-RO"/>
        </w:rPr>
        <w:tab/>
      </w:r>
      <w:r>
        <w:rPr>
          <w:rFonts w:cs="Arial"/>
          <w:sz w:val="22"/>
          <w:lang w:val="ro-RO"/>
        </w:rPr>
        <w:t>Participarea scăzută la evenimente de consultare;</w:t>
      </w:r>
    </w:p>
    <w:p w14:paraId="42A4E4A6">
      <w:pPr>
        <w:rPr>
          <w:rFonts w:cs="Arial"/>
          <w:sz w:val="22"/>
          <w:lang w:val="ro-RO"/>
        </w:rPr>
      </w:pPr>
      <w:r>
        <w:rPr>
          <w:rFonts w:cs="Arial"/>
          <w:sz w:val="22"/>
          <w:lang w:val="ro-RO"/>
        </w:rPr>
        <w:t>•</w:t>
      </w:r>
      <w:r>
        <w:rPr>
          <w:rFonts w:cs="Arial"/>
          <w:sz w:val="22"/>
          <w:lang w:val="ro-RO"/>
        </w:rPr>
        <w:tab/>
      </w:r>
      <w:r>
        <w:rPr>
          <w:rFonts w:cs="Arial"/>
          <w:sz w:val="22"/>
          <w:lang w:val="ro-RO"/>
        </w:rPr>
        <w:t>Dezinteres din partea potențialilor parteneri privind dezvoltarea de proiecte în parteneriat.</w:t>
      </w:r>
    </w:p>
    <w:bookmarkEnd w:id="64"/>
    <w:p w14:paraId="08D2BFB0">
      <w:pPr>
        <w:rPr>
          <w:rFonts w:cs="Arial"/>
          <w:sz w:val="22"/>
          <w:lang w:val="ro-RO"/>
        </w:rPr>
      </w:pPr>
    </w:p>
    <w:p w14:paraId="350251E7">
      <w:pPr>
        <w:pStyle w:val="4"/>
        <w:numPr>
          <w:ilvl w:val="2"/>
          <w:numId w:val="8"/>
        </w:numPr>
        <w:rPr>
          <w:rFonts w:cs="Arial"/>
          <w:sz w:val="22"/>
          <w:szCs w:val="22"/>
          <w:lang w:val="ro-RO"/>
        </w:rPr>
      </w:pPr>
      <w:bookmarkStart w:id="65" w:name="_Toc201926334"/>
      <w:r>
        <w:rPr>
          <w:rFonts w:cs="Arial"/>
          <w:sz w:val="22"/>
          <w:szCs w:val="22"/>
          <w:lang w:val="ro-RO"/>
        </w:rPr>
        <w:t>Planul de măsuri pentru atenuarea riscurilor în implementarea SDL</w:t>
      </w:r>
      <w:bookmarkEnd w:id="55"/>
      <w:bookmarkEnd w:id="65"/>
    </w:p>
    <w:p w14:paraId="6372C46E">
      <w:pPr>
        <w:rPr>
          <w:rFonts w:cs="Arial"/>
          <w:sz w:val="22"/>
          <w:lang w:val="ro-RO"/>
        </w:rPr>
      </w:pPr>
      <w:r>
        <w:rPr>
          <w:rFonts w:cs="Arial"/>
          <w:sz w:val="22"/>
          <w:lang w:val="ro-RO"/>
        </w:rPr>
        <w:t>Preîntampinarea și atenuarea acestor riscuri trebuie să fie asigurată pe de-o parte, prin clauze contractuale cum ar fi:</w:t>
      </w:r>
    </w:p>
    <w:p w14:paraId="44E6A320">
      <w:pPr>
        <w:rPr>
          <w:rFonts w:cs="Arial"/>
          <w:sz w:val="22"/>
          <w:lang w:val="ro-RO"/>
        </w:rPr>
      </w:pPr>
      <w:r>
        <w:rPr>
          <w:rFonts w:cs="Arial"/>
          <w:sz w:val="22"/>
          <w:lang w:val="ro-RO"/>
        </w:rPr>
        <w:t>•</w:t>
      </w:r>
      <w:r>
        <w:rPr>
          <w:rFonts w:cs="Arial"/>
          <w:sz w:val="22"/>
          <w:lang w:val="ro-RO"/>
        </w:rPr>
        <w:tab/>
      </w:r>
      <w:r>
        <w:rPr>
          <w:rFonts w:cs="Arial"/>
          <w:sz w:val="22"/>
          <w:lang w:val="ro-RO"/>
        </w:rPr>
        <w:t>Clauza de forță majoră: Această clauză acoperă evenimente neprevăzute și inevitabile, cum ar fi cutremure, inundații, incendii sau conflicte armate, care pot afecta executarea contractului. Prin includerea acestei clauze, părțile contractante își pot exonera de răspundere în cazul în care îndeplinirea obligațiilor contractuale este imposibilă din cauza unui astfel de eveniment.</w:t>
      </w:r>
    </w:p>
    <w:p w14:paraId="5F0CE36E">
      <w:pPr>
        <w:rPr>
          <w:rFonts w:cs="Arial"/>
          <w:sz w:val="22"/>
          <w:lang w:val="ro-RO"/>
        </w:rPr>
      </w:pPr>
      <w:r>
        <w:rPr>
          <w:rFonts w:cs="Arial"/>
          <w:sz w:val="22"/>
          <w:lang w:val="ro-RO"/>
        </w:rPr>
        <w:t>•</w:t>
      </w:r>
      <w:r>
        <w:rPr>
          <w:rFonts w:cs="Arial"/>
          <w:sz w:val="22"/>
          <w:lang w:val="ro-RO"/>
        </w:rPr>
        <w:tab/>
      </w:r>
      <w:r>
        <w:rPr>
          <w:rFonts w:cs="Arial"/>
          <w:sz w:val="22"/>
          <w:lang w:val="ro-RO"/>
        </w:rPr>
        <w:t>Clauza de limitare a răspunderii: Această clauză poate limita răspunderea unei părți în cazul în care aceasta nu își îndeplinește obligațiile contractuale sau cauzează daune celeilalte părți. Limitarea poate fi exprimată ca o sumă maximă de despăgubire sau ca procent din valoarea contractului.</w:t>
      </w:r>
    </w:p>
    <w:p w14:paraId="0C7DE6E1">
      <w:pPr>
        <w:rPr>
          <w:rFonts w:cs="Arial"/>
          <w:sz w:val="22"/>
          <w:lang w:val="ro-RO"/>
        </w:rPr>
      </w:pPr>
      <w:r>
        <w:rPr>
          <w:rFonts w:cs="Arial"/>
          <w:sz w:val="22"/>
          <w:lang w:val="ro-RO"/>
        </w:rPr>
        <w:t>•</w:t>
      </w:r>
      <w:r>
        <w:rPr>
          <w:rFonts w:cs="Arial"/>
          <w:sz w:val="22"/>
          <w:lang w:val="ro-RO"/>
        </w:rPr>
        <w:tab/>
      </w:r>
      <w:r>
        <w:rPr>
          <w:rFonts w:cs="Arial"/>
          <w:sz w:val="22"/>
          <w:lang w:val="ro-RO"/>
        </w:rPr>
        <w:t>Clauza de reziliere: Această clauză permite părților să rezilieze contractul în anumite condiții, cum ar fi neîndeplinirea unor obligații esențiale sau nerespectarea termenelor stabilite. Rezilierea poate fi un mecanism important de preîntâmpinare a riscurilor în cazul în care una dintre părți nu își îndeplinește obligațiile contractuale.</w:t>
      </w:r>
    </w:p>
    <w:p w14:paraId="550EF923">
      <w:pPr>
        <w:rPr>
          <w:rFonts w:cs="Arial"/>
          <w:sz w:val="22"/>
          <w:lang w:val="ro-RO"/>
        </w:rPr>
      </w:pPr>
      <w:r>
        <w:rPr>
          <w:rFonts w:cs="Arial"/>
          <w:sz w:val="22"/>
          <w:lang w:val="ro-RO"/>
        </w:rPr>
        <w:t>•</w:t>
      </w:r>
      <w:r>
        <w:rPr>
          <w:rFonts w:cs="Arial"/>
          <w:sz w:val="22"/>
          <w:lang w:val="ro-RO"/>
        </w:rPr>
        <w:tab/>
      </w:r>
      <w:r>
        <w:rPr>
          <w:rFonts w:cs="Arial"/>
          <w:sz w:val="22"/>
          <w:lang w:val="ro-RO"/>
        </w:rPr>
        <w:t>Clauza de asigurare: Prin includerea acestei clauze, părțile pot fi obligate să încheie o asigurare care să acopere anumite riscuri asociate contractului. De exemplu, în cazul unui contract de construcție, o clauză de asigurare poate cere asigurarea pentru daune materiale sau accidente de muncă.</w:t>
      </w:r>
    </w:p>
    <w:p w14:paraId="3A78A4C8">
      <w:pPr>
        <w:rPr>
          <w:rFonts w:cs="Arial"/>
          <w:sz w:val="22"/>
          <w:lang w:val="ro-RO"/>
        </w:rPr>
      </w:pPr>
      <w:r>
        <w:rPr>
          <w:rFonts w:cs="Arial"/>
          <w:sz w:val="22"/>
          <w:lang w:val="ro-RO"/>
        </w:rPr>
        <w:t>•</w:t>
      </w:r>
      <w:r>
        <w:rPr>
          <w:rFonts w:cs="Arial"/>
          <w:sz w:val="22"/>
          <w:lang w:val="ro-RO"/>
        </w:rPr>
        <w:tab/>
      </w:r>
      <w:r>
        <w:rPr>
          <w:rFonts w:cs="Arial"/>
          <w:sz w:val="22"/>
          <w:lang w:val="ro-RO"/>
        </w:rPr>
        <w:t>Clauza de confidențialitate: Această clauză protejează informațiile confidențiale dezvăluite în cadrul contractului și limitează accesul acestora doar la persoanele implicate în executarea contractului. Astfel, se preîntâmpină riscul divulgării sau utilizării neautorizate a informațiilor.</w:t>
      </w:r>
    </w:p>
    <w:p w14:paraId="41566A2B">
      <w:pPr>
        <w:rPr>
          <w:rFonts w:cs="Arial"/>
          <w:sz w:val="22"/>
          <w:lang w:val="ro-RO"/>
        </w:rPr>
      </w:pPr>
      <w:r>
        <w:rPr>
          <w:rFonts w:cs="Arial"/>
          <w:sz w:val="22"/>
          <w:lang w:val="ro-RO"/>
        </w:rPr>
        <w:t>•</w:t>
      </w:r>
      <w:r>
        <w:rPr>
          <w:rFonts w:cs="Arial"/>
          <w:sz w:val="22"/>
          <w:lang w:val="ro-RO"/>
        </w:rPr>
        <w:tab/>
      </w:r>
      <w:r>
        <w:rPr>
          <w:rFonts w:cs="Arial"/>
          <w:sz w:val="22"/>
          <w:lang w:val="ro-RO"/>
        </w:rPr>
        <w:t>Clauza de arbitraj: Prin includerea acestei clauze, părțile se angajează să rezolve eventualele litigii prin arbitraj, în loc de a le aduce în fața instanțelor de judecată. Arbitrajul poate fi mai rapid și mai puțin costisitor decât procesul în instanță, contribuind la atenuarea riscurilor legate de disputele contractuale.</w:t>
      </w:r>
    </w:p>
    <w:p w14:paraId="2B33C179">
      <w:pPr>
        <w:rPr>
          <w:rFonts w:cs="Arial"/>
          <w:sz w:val="22"/>
          <w:lang w:val="ro-RO"/>
        </w:rPr>
      </w:pPr>
      <w:r>
        <w:rPr>
          <w:rFonts w:cs="Arial"/>
          <w:sz w:val="22"/>
          <w:lang w:val="ro-RO"/>
        </w:rPr>
        <w:t>precum și prin:</w:t>
      </w:r>
    </w:p>
    <w:p w14:paraId="7B920E3A">
      <w:pPr>
        <w:rPr>
          <w:rFonts w:cs="Arial"/>
          <w:sz w:val="22"/>
          <w:lang w:val="ro-RO"/>
        </w:rPr>
      </w:pPr>
      <w:r>
        <w:rPr>
          <w:rFonts w:cs="Arial"/>
          <w:sz w:val="22"/>
          <w:lang w:val="ro-RO"/>
        </w:rPr>
        <w:t>•</w:t>
      </w:r>
      <w:r>
        <w:rPr>
          <w:rFonts w:cs="Arial"/>
          <w:sz w:val="22"/>
          <w:lang w:val="ro-RO"/>
        </w:rPr>
        <w:tab/>
      </w:r>
      <w:r>
        <w:rPr>
          <w:rFonts w:cs="Arial"/>
          <w:sz w:val="22"/>
          <w:lang w:val="ro-RO"/>
        </w:rPr>
        <w:t>Activități susținute de comunicare, conștientizare și diseminare cu privire la conceptul și implementarea strategiei;</w:t>
      </w:r>
    </w:p>
    <w:p w14:paraId="2D38CE05">
      <w:pPr>
        <w:rPr>
          <w:rFonts w:cs="Arial"/>
          <w:sz w:val="22"/>
          <w:lang w:val="ro-RO"/>
        </w:rPr>
      </w:pPr>
      <w:r>
        <w:rPr>
          <w:rFonts w:cs="Arial"/>
          <w:sz w:val="22"/>
          <w:lang w:val="ro-RO"/>
        </w:rPr>
        <w:t>•</w:t>
      </w:r>
      <w:r>
        <w:rPr>
          <w:rFonts w:cs="Arial"/>
          <w:sz w:val="22"/>
          <w:lang w:val="ro-RO"/>
        </w:rPr>
        <w:tab/>
      </w:r>
      <w:r>
        <w:rPr>
          <w:rFonts w:cs="Arial"/>
          <w:sz w:val="22"/>
          <w:lang w:val="ro-RO"/>
        </w:rPr>
        <w:t>Campanii de educare a comunității;</w:t>
      </w:r>
    </w:p>
    <w:p w14:paraId="77444E89">
      <w:pPr>
        <w:rPr>
          <w:rFonts w:cs="Arial"/>
          <w:sz w:val="22"/>
          <w:lang w:val="ro-RO"/>
        </w:rPr>
      </w:pPr>
      <w:r>
        <w:rPr>
          <w:rFonts w:cs="Arial"/>
          <w:sz w:val="22"/>
          <w:lang w:val="ro-RO"/>
        </w:rPr>
        <w:t>•</w:t>
      </w:r>
      <w:r>
        <w:rPr>
          <w:rFonts w:cs="Arial"/>
          <w:sz w:val="22"/>
          <w:lang w:val="ro-RO"/>
        </w:rPr>
        <w:tab/>
      </w:r>
      <w:r>
        <w:rPr>
          <w:rFonts w:cs="Arial"/>
          <w:sz w:val="22"/>
          <w:lang w:val="ro-RO"/>
        </w:rPr>
        <w:t>Analiza și avizarea situațiilor de lucrări în vederea efectuării plăților;</w:t>
      </w:r>
    </w:p>
    <w:p w14:paraId="1285CADE">
      <w:pPr>
        <w:rPr>
          <w:rFonts w:cs="Arial"/>
          <w:sz w:val="22"/>
          <w:lang w:val="ro-RO"/>
        </w:rPr>
      </w:pPr>
      <w:r>
        <w:rPr>
          <w:rFonts w:cs="Arial"/>
          <w:sz w:val="22"/>
          <w:lang w:val="ro-RO"/>
        </w:rPr>
        <w:t>•</w:t>
      </w:r>
      <w:r>
        <w:rPr>
          <w:rFonts w:cs="Arial"/>
          <w:sz w:val="22"/>
          <w:lang w:val="ro-RO"/>
        </w:rPr>
        <w:tab/>
      </w:r>
      <w:r>
        <w:rPr>
          <w:rFonts w:cs="Arial"/>
          <w:sz w:val="22"/>
          <w:lang w:val="ro-RO"/>
        </w:rPr>
        <w:t xml:space="preserve">Prin cunoașterea, înțelegerea și aplicarea corectă a clauzelor contractuale, </w:t>
      </w:r>
    </w:p>
    <w:p w14:paraId="7C4290CB">
      <w:pPr>
        <w:rPr>
          <w:rFonts w:cs="Arial"/>
          <w:sz w:val="22"/>
          <w:lang w:val="ro-RO"/>
        </w:rPr>
      </w:pPr>
      <w:r>
        <w:rPr>
          <w:rFonts w:cs="Arial"/>
          <w:sz w:val="22"/>
          <w:lang w:val="ro-RO"/>
        </w:rPr>
        <w:t>•</w:t>
      </w:r>
      <w:r>
        <w:rPr>
          <w:rFonts w:cs="Arial"/>
          <w:sz w:val="22"/>
          <w:lang w:val="ro-RO"/>
        </w:rPr>
        <w:tab/>
      </w:r>
      <w:r>
        <w:rPr>
          <w:rFonts w:cs="Arial"/>
          <w:sz w:val="22"/>
          <w:lang w:val="ro-RO"/>
        </w:rPr>
        <w:t>Printr-o activitate susținută a membrilor structurii de implementare și monitorizare a strategiei și a echipelor de proiect și colaborare strânsă cu echipele de experți tehnici, consultanți, diriginți de șantier, astfel încât să se realizeze monitorizarea foarte atentă a contractelor de lucrări.</w:t>
      </w:r>
    </w:p>
    <w:p w14:paraId="0C54F20D">
      <w:pPr>
        <w:rPr>
          <w:rFonts w:cs="Arial"/>
          <w:sz w:val="22"/>
          <w:lang w:val="ro-RO"/>
        </w:rPr>
      </w:pPr>
    </w:p>
    <w:p w14:paraId="59B7985E">
      <w:pPr>
        <w:pStyle w:val="3"/>
        <w:numPr>
          <w:ilvl w:val="1"/>
          <w:numId w:val="8"/>
        </w:numPr>
        <w:rPr>
          <w:rFonts w:cs="Arial"/>
          <w:sz w:val="22"/>
          <w:szCs w:val="22"/>
          <w:lang w:val="ro-RO"/>
        </w:rPr>
      </w:pPr>
      <w:bookmarkStart w:id="66" w:name="_Toc201926335"/>
      <w:bookmarkStart w:id="67" w:name="_Toc121175475"/>
      <w:bookmarkStart w:id="68" w:name="_Toc105618764"/>
      <w:r>
        <w:rPr>
          <w:rFonts w:cs="Arial"/>
          <w:sz w:val="22"/>
          <w:szCs w:val="22"/>
          <w:lang w:val="ro-RO"/>
        </w:rPr>
        <w:t>CADRUL PARTENERIAL PENTRU ELABORAREA ȘI IMPLEMENTAREA STRATEGIEI</w:t>
      </w:r>
      <w:bookmarkEnd w:id="66"/>
      <w:bookmarkEnd w:id="67"/>
      <w:bookmarkEnd w:id="68"/>
    </w:p>
    <w:p w14:paraId="6927F9E9">
      <w:pPr>
        <w:pStyle w:val="4"/>
        <w:numPr>
          <w:ilvl w:val="2"/>
          <w:numId w:val="8"/>
        </w:numPr>
        <w:rPr>
          <w:rFonts w:cs="Arial"/>
          <w:sz w:val="22"/>
          <w:szCs w:val="22"/>
          <w:lang w:val="ro-RO"/>
        </w:rPr>
      </w:pPr>
      <w:bookmarkStart w:id="69" w:name="_Toc94037244"/>
      <w:bookmarkStart w:id="70" w:name="_Toc201926336"/>
      <w:bookmarkStart w:id="71" w:name="_Toc121175476"/>
      <w:r>
        <w:rPr>
          <w:rFonts w:cs="Arial"/>
          <w:sz w:val="22"/>
          <w:szCs w:val="22"/>
          <w:lang w:val="ro-RO"/>
        </w:rPr>
        <w:t>MECANISMUL DE COLABORARE ȘI CONSULTARE PUBLICĂ</w:t>
      </w:r>
      <w:bookmarkEnd w:id="69"/>
      <w:bookmarkEnd w:id="70"/>
      <w:bookmarkEnd w:id="71"/>
    </w:p>
    <w:p w14:paraId="5AC0E033">
      <w:pPr>
        <w:rPr>
          <w:rFonts w:cs="Arial"/>
          <w:sz w:val="22"/>
          <w:lang w:val="ro-RO"/>
        </w:rPr>
      </w:pPr>
      <w:r>
        <w:rPr>
          <w:rFonts w:cs="Arial"/>
          <w:sz w:val="22"/>
          <w:lang w:val="ro-RO"/>
        </w:rPr>
        <w:t>În cadrul procesului de actualizare a „Strategiei de Dezvoltare a Comunei Șimian pentru perioada 2025–2027” sunt definite direcțiile principale de acțiune care vor ghida dezvoltarea locală în următorii ani. Pentru ca această strategie să reflecte cu acuratețe dinamica reală a comunei și să identifice provocările relevante ale momentului, este esențială implicarea mecanismelor de consultare publică. O strategie de dezvoltare eficientă trebuie să răspundă nevoilor locale printr-un proces participativ, în care buna guvernanță, colaborarea și implicarea comunității devin elemente centrale, asigurând astfel continuitatea și coerența viziunii pe termen lung.</w:t>
      </w:r>
    </w:p>
    <w:p w14:paraId="2924153A">
      <w:pPr>
        <w:rPr>
          <w:rFonts w:cs="Arial"/>
          <w:sz w:val="22"/>
          <w:lang w:val="ro-RO"/>
        </w:rPr>
      </w:pPr>
      <w:r>
        <w:rPr>
          <w:rFonts w:cs="Arial"/>
          <w:sz w:val="22"/>
          <w:lang w:val="ro-RO"/>
        </w:rPr>
        <w:t>Sondajul de opinie reprezintă un instrument cantitativ valoros, fiind realizat pe baza unui chestionar adresat unui public-țintă selectat în prealabil. În acest context, pentru elaborarea Strategiei de Dezvoltare a Comunei Șimian 2025–2027, au fost derulate sondaje de opinie dedicate locuitorilor comunei. Acestea au fost concepute astfel încât să permită exprimarea opiniilor pe diverse arii de interes, corelate cu domeniile analizate și cu prioritățile strategice identificate în cadrul evaluării situației existente.</w:t>
      </w:r>
    </w:p>
    <w:p w14:paraId="52A4EF99">
      <w:pPr>
        <w:rPr>
          <w:rFonts w:cs="Arial"/>
          <w:sz w:val="22"/>
          <w:lang w:val="ro-RO"/>
        </w:rPr>
      </w:pPr>
      <w:r>
        <w:rPr>
          <w:rFonts w:cs="Arial"/>
          <w:sz w:val="22"/>
          <w:lang w:val="ro-RO"/>
        </w:rPr>
        <w:t>Metodologia de elaborare, de distribuire a chestionarelor și de colectare a răspunsurilor, realizată și aplicată în parteneriat cu Beneficiarul, a constat în următorii pași principali:</w:t>
      </w:r>
    </w:p>
    <w:p w14:paraId="1C88AFB4">
      <w:pPr>
        <w:numPr>
          <w:ilvl w:val="0"/>
          <w:numId w:val="37"/>
        </w:numPr>
        <w:pBdr>
          <w:top w:val="none" w:color="auto" w:sz="0" w:space="0"/>
          <w:left w:val="none" w:color="auto" w:sz="0" w:space="0"/>
          <w:bottom w:val="none" w:color="auto" w:sz="0" w:space="0"/>
          <w:right w:val="none" w:color="auto" w:sz="0" w:space="0"/>
          <w:between w:val="none" w:color="auto" w:sz="0" w:space="0"/>
        </w:pBdr>
        <w:ind w:left="0" w:firstLine="720"/>
        <w:rPr>
          <w:rFonts w:cs="Arial"/>
          <w:sz w:val="22"/>
          <w:lang w:val="ro-RO"/>
        </w:rPr>
      </w:pPr>
      <w:r>
        <w:rPr>
          <w:rFonts w:eastAsia="Calibri" w:cs="Arial"/>
          <w:sz w:val="22"/>
          <w:lang w:val="ro-RO"/>
        </w:rPr>
        <w:t xml:space="preserve">Elaborarea chestionarului de către Consultant, în format word și Google Forms și aprobarea acestuia de către Beneficiar; </w:t>
      </w:r>
    </w:p>
    <w:p w14:paraId="42C94E2E">
      <w:pPr>
        <w:numPr>
          <w:ilvl w:val="0"/>
          <w:numId w:val="37"/>
        </w:numPr>
        <w:pBdr>
          <w:top w:val="none" w:color="auto" w:sz="0" w:space="0"/>
          <w:left w:val="none" w:color="auto" w:sz="0" w:space="0"/>
          <w:bottom w:val="none" w:color="auto" w:sz="0" w:space="0"/>
          <w:right w:val="none" w:color="auto" w:sz="0" w:space="0"/>
          <w:between w:val="none" w:color="auto" w:sz="0" w:space="0"/>
        </w:pBdr>
        <w:ind w:left="0" w:firstLine="720"/>
        <w:rPr>
          <w:rFonts w:cs="Arial"/>
          <w:sz w:val="22"/>
          <w:lang w:val="ro-RO"/>
        </w:rPr>
      </w:pPr>
      <w:r>
        <w:rPr>
          <w:rFonts w:eastAsia="Calibri" w:cs="Arial"/>
          <w:sz w:val="22"/>
          <w:lang w:val="ro-RO"/>
        </w:rPr>
        <w:t xml:space="preserve">Elaborarea materialului grafic de prezentare a mesajelor și anunțurilor de promovare a chestionarului, precum și aprobarea acestora de către Beneficiar; </w:t>
      </w:r>
    </w:p>
    <w:p w14:paraId="3FC9009F">
      <w:pPr>
        <w:numPr>
          <w:ilvl w:val="0"/>
          <w:numId w:val="37"/>
        </w:numPr>
        <w:pBdr>
          <w:top w:val="none" w:color="auto" w:sz="0" w:space="0"/>
          <w:left w:val="none" w:color="auto" w:sz="0" w:space="0"/>
          <w:bottom w:val="none" w:color="auto" w:sz="0" w:space="0"/>
          <w:right w:val="none" w:color="auto" w:sz="0" w:space="0"/>
          <w:between w:val="none" w:color="auto" w:sz="0" w:space="0"/>
        </w:pBdr>
        <w:ind w:left="0" w:firstLine="720"/>
        <w:rPr>
          <w:rFonts w:cs="Arial"/>
          <w:sz w:val="22"/>
          <w:lang w:val="ro-RO"/>
        </w:rPr>
      </w:pPr>
      <w:r>
        <w:rPr>
          <w:rFonts w:eastAsia="Calibri" w:cs="Arial"/>
          <w:sz w:val="22"/>
          <w:lang w:val="ro-RO"/>
        </w:rPr>
        <w:t>Stabilirea modului de completare și transmitere a chestionarelor: posibilitatea de completare a formularelor a fost adaptată pentru a facilita cetățenilor accesul facil la acestea, fiind online, utilizând platforma Google forms;</w:t>
      </w:r>
    </w:p>
    <w:p w14:paraId="1D29994C">
      <w:pPr>
        <w:numPr>
          <w:ilvl w:val="0"/>
          <w:numId w:val="37"/>
        </w:numPr>
        <w:pBdr>
          <w:top w:val="none" w:color="auto" w:sz="0" w:space="0"/>
          <w:left w:val="none" w:color="auto" w:sz="0" w:space="0"/>
          <w:bottom w:val="none" w:color="auto" w:sz="0" w:space="0"/>
          <w:right w:val="none" w:color="auto" w:sz="0" w:space="0"/>
          <w:between w:val="none" w:color="auto" w:sz="0" w:space="0"/>
        </w:pBdr>
        <w:ind w:left="0" w:firstLine="720"/>
        <w:rPr>
          <w:rFonts w:cs="Arial"/>
          <w:sz w:val="22"/>
          <w:lang w:val="ro-RO"/>
        </w:rPr>
      </w:pPr>
      <w:r>
        <w:rPr>
          <w:rFonts w:eastAsia="Calibri" w:cs="Arial"/>
          <w:sz w:val="22"/>
          <w:lang w:val="ro-RO"/>
        </w:rPr>
        <w:t xml:space="preserve">Stabilirea termenelor de completare și transmitere a chestionarelor, trimiterea înștiințărilor periodice de completare; </w:t>
      </w:r>
    </w:p>
    <w:p w14:paraId="5FEAC1AA">
      <w:pPr>
        <w:numPr>
          <w:ilvl w:val="0"/>
          <w:numId w:val="38"/>
        </w:numPr>
        <w:pBdr>
          <w:top w:val="none" w:color="auto" w:sz="0" w:space="0"/>
          <w:left w:val="none" w:color="auto" w:sz="0" w:space="0"/>
          <w:bottom w:val="none" w:color="auto" w:sz="0" w:space="0"/>
          <w:right w:val="none" w:color="auto" w:sz="0" w:space="0"/>
          <w:between w:val="none" w:color="auto" w:sz="0" w:space="0"/>
        </w:pBdr>
        <w:ind w:left="0" w:firstLine="720"/>
        <w:rPr>
          <w:rFonts w:cs="Arial"/>
          <w:sz w:val="22"/>
          <w:lang w:val="ro-RO"/>
        </w:rPr>
      </w:pPr>
      <w:r>
        <w:rPr>
          <w:rFonts w:eastAsia="Calibri" w:cs="Arial"/>
          <w:sz w:val="22"/>
          <w:lang w:val="ro-RO"/>
        </w:rPr>
        <w:t>Diseminarea chestionarului, de către reprezentanții Beneficiarului, pe căile de comunicare stabilite anterior, colectarea chestionarelor completate în format online și prelucrarea și interpretarea răspunsurilor primite.</w:t>
      </w:r>
    </w:p>
    <w:p w14:paraId="0E94EFA5">
      <w:pPr>
        <w:rPr>
          <w:rFonts w:cs="Arial"/>
          <w:sz w:val="22"/>
          <w:lang w:val="ro-RO"/>
        </w:rPr>
      </w:pPr>
    </w:p>
    <w:p w14:paraId="3DAB3C68">
      <w:pPr>
        <w:pStyle w:val="4"/>
        <w:numPr>
          <w:ilvl w:val="2"/>
          <w:numId w:val="8"/>
        </w:numPr>
        <w:rPr>
          <w:rFonts w:cs="Arial"/>
          <w:sz w:val="22"/>
          <w:szCs w:val="22"/>
          <w:lang w:val="ro-RO"/>
        </w:rPr>
      </w:pPr>
      <w:bookmarkStart w:id="72" w:name="_Toc121175477"/>
      <w:bookmarkStart w:id="73" w:name="_Toc94037245"/>
      <w:bookmarkStart w:id="74" w:name="_Toc201926337"/>
      <w:r>
        <w:rPr>
          <w:rFonts w:cs="Arial"/>
          <w:sz w:val="22"/>
          <w:szCs w:val="22"/>
          <w:lang w:val="ro-RO"/>
        </w:rPr>
        <w:t>REZULTATELE PROCESULUI DE CONSULTARE PUBLICĂ</w:t>
      </w:r>
      <w:bookmarkEnd w:id="72"/>
      <w:bookmarkEnd w:id="73"/>
      <w:bookmarkEnd w:id="74"/>
    </w:p>
    <w:p w14:paraId="3CE530D8">
      <w:pPr>
        <w:pStyle w:val="52"/>
        <w:spacing w:after="0" w:line="360" w:lineRule="auto"/>
        <w:ind w:firstLine="0"/>
        <w:rPr>
          <w:rFonts w:ascii="Arial" w:hAnsi="Arial" w:cs="Arial"/>
          <w:szCs w:val="22"/>
          <w:lang w:val="ro-RO"/>
        </w:rPr>
      </w:pPr>
      <w:r>
        <w:rPr>
          <w:rFonts w:ascii="Arial" w:hAnsi="Arial" w:cs="Arial"/>
          <w:szCs w:val="22"/>
          <w:lang w:val="ro-RO"/>
        </w:rPr>
        <w:t>Chestionarul dedicat cetățenilor Comunei Șimian a urmărit identificarea principalelor nevoi și provocări ce țin de calitatea vieții și atractivitatea comunei, în vederea generării de propuneri de soluții pentru a fi incluse în propunerile de dezvoltare locală.</w:t>
      </w:r>
    </w:p>
    <w:p w14:paraId="3F8FB426">
      <w:pPr>
        <w:pStyle w:val="52"/>
        <w:spacing w:after="0" w:line="360" w:lineRule="auto"/>
        <w:ind w:firstLine="0"/>
        <w:rPr>
          <w:rFonts w:ascii="Arial" w:hAnsi="Arial" w:cs="Arial"/>
          <w:szCs w:val="22"/>
          <w:lang w:val="ro-RO"/>
        </w:rPr>
      </w:pPr>
      <w:r>
        <w:rPr>
          <w:rFonts w:ascii="Arial" w:hAnsi="Arial" w:cs="Arial"/>
          <w:szCs w:val="22"/>
          <w:lang w:val="ro-RO"/>
        </w:rPr>
        <w:t xml:space="preserve">Chestionarul a fost creat pe baza unei analize preliminare a literaturii și a datelor disponibile, iar principalele concluzii sunt prezentate în continuare: </w:t>
      </w:r>
    </w:p>
    <w:p w14:paraId="06FEDBF1">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În general, respondenții s-au declarat mulțumiți (77%) și foarte nemulțumiți (2.04%) despre comună în ansamblu;</w:t>
      </w:r>
    </w:p>
    <w:p w14:paraId="7A48609F">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Printre cele mai importante probleme ale Comunei Șimian au fost enumerate: accesul deficitar sau inexistent la utilități (apa-canal-gaz); traficul rutier intens în zonă, gestionarea  deșeurilor; lipsa locurilor de muncă; aspecte legate de regenerarea urbană, aspecte legate de câinii fără stăpân;</w:t>
      </w:r>
    </w:p>
    <w:p w14:paraId="45AFBD2E">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Dintre aspectele pozitive, respondenții au amintit trendul pozitiv in ceea ce privește dezvoltarea comunei în ansamblu;</w:t>
      </w:r>
    </w:p>
    <w:p w14:paraId="01F96CA6">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Printre cele mai importante proiecte in lucru, cunoscute de respondenți se regasesc proiecte care vizează dezvoltarea infrastructurii tehnico-edilitare, asfaltare drumuri, reabilitare energetică de blocuri și instituții publice;</w:t>
      </w:r>
    </w:p>
    <w:p w14:paraId="58C9D519">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În ceea ce privește accesul la servicii publice, respondenții s-au declarat mulțumiți de accesul la serviciile de educație (școală și grădiniță) și mai puțin mulțumiți de accesul la servicii medicale (farmacie și cabinet medical);</w:t>
      </w:r>
    </w:p>
    <w:p w14:paraId="52011426">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Calitatea serviciilor publice este apreciată, în general, ca fiind foarte bună;</w:t>
      </w:r>
    </w:p>
    <w:p w14:paraId="0E6ECE26">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Referitor la siguranța publică, 26,5% dintre respondenți declară ca se simt „destul de în siguranță” cand merg pe stradă, în timp ce 16.3% „nu prea în siguranță”;</w:t>
      </w:r>
    </w:p>
    <w:p w14:paraId="4BE74133">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Din perspectiva mobilității la nivelul comunei, 26,5% dintre respondenți considera că serviciul de transport în comun existent este eficient, însă majoritatea respondeților (93%) folosește automobilul personal pentru deplasările zilnice;</w:t>
      </w:r>
    </w:p>
    <w:p w14:paraId="01BD209E">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Oferta de petrecere a timpului liber se dovedește neumulțumitoare pentru respondenții la chestionar, daca luâm în calcul faptul că cei mai multi se declară nemulțumiți de evenimentele culturale și artistice, concerte, biblioteci;</w:t>
      </w:r>
    </w:p>
    <w:p w14:paraId="47B4AC25">
      <w:pPr>
        <w:pStyle w:val="52"/>
        <w:spacing w:after="0" w:line="360" w:lineRule="auto"/>
        <w:ind w:firstLine="0"/>
        <w:rPr>
          <w:rFonts w:ascii="Arial" w:hAnsi="Arial" w:cs="Arial"/>
          <w:szCs w:val="22"/>
          <w:lang w:val="ro-RO"/>
        </w:rPr>
      </w:pPr>
      <w:r>
        <w:rPr>
          <w:rFonts w:ascii="Arial" w:hAnsi="Arial" w:cs="Arial"/>
          <w:szCs w:val="22"/>
          <w:lang w:val="ro-RO"/>
        </w:rPr>
        <w:t>-</w:t>
      </w:r>
      <w:r>
        <w:rPr>
          <w:rFonts w:ascii="Arial" w:hAnsi="Arial" w:cs="Arial"/>
          <w:szCs w:val="22"/>
          <w:lang w:val="ro-RO"/>
        </w:rPr>
        <w:tab/>
      </w:r>
      <w:r>
        <w:rPr>
          <w:rFonts w:ascii="Arial" w:hAnsi="Arial" w:cs="Arial"/>
          <w:szCs w:val="22"/>
          <w:lang w:val="ro-RO"/>
        </w:rPr>
        <w:t>Printre ideile de dezvoltare propuse, se numără: Un festival al Insulei Ada Kaleh, construirea unui parc de agrement/ acvatic cu plajă, construirea unui muzeu al comunei, cafenea cu specific turcesc.</w:t>
      </w:r>
    </w:p>
    <w:p w14:paraId="4568D56C">
      <w:pPr>
        <w:pStyle w:val="2"/>
        <w:rPr>
          <w:rFonts w:ascii="Arial" w:hAnsi="Arial" w:cs="Arial"/>
          <w:sz w:val="22"/>
          <w:szCs w:val="22"/>
          <w:lang w:val="ro-RO"/>
        </w:rPr>
      </w:pPr>
      <w:bookmarkStart w:id="75" w:name="_Toc201926338"/>
      <w:r>
        <w:rPr>
          <w:rFonts w:ascii="Arial" w:hAnsi="Arial" w:cs="Arial"/>
          <w:sz w:val="22"/>
          <w:szCs w:val="22"/>
          <w:lang w:val="ro-RO"/>
        </w:rPr>
        <w:t>CAPITOLUL 4</w:t>
      </w:r>
      <w:bookmarkEnd w:id="75"/>
    </w:p>
    <w:p w14:paraId="61945FB0">
      <w:pPr>
        <w:pStyle w:val="2"/>
        <w:rPr>
          <w:rFonts w:ascii="Arial" w:hAnsi="Arial" w:cs="Arial"/>
          <w:sz w:val="22"/>
          <w:szCs w:val="22"/>
          <w:lang w:val="ro-RO"/>
        </w:rPr>
      </w:pPr>
      <w:bookmarkStart w:id="76" w:name="_Toc201926339"/>
      <w:r>
        <w:rPr>
          <w:rFonts w:ascii="Arial" w:hAnsi="Arial" w:cs="Arial"/>
          <w:sz w:val="22"/>
          <w:szCs w:val="22"/>
          <w:lang w:val="ro-RO"/>
        </w:rPr>
        <w:t>STRATEGIA DE DEZVOLTARE PROPUSĂ</w:t>
      </w:r>
      <w:bookmarkEnd w:id="76"/>
    </w:p>
    <w:p w14:paraId="571406D7">
      <w:pPr>
        <w:rPr>
          <w:rFonts w:cs="Arial"/>
          <w:sz w:val="22"/>
          <w:lang w:val="ro-RO"/>
        </w:rPr>
      </w:pPr>
    </w:p>
    <w:p w14:paraId="43934F08">
      <w:pPr>
        <w:tabs>
          <w:tab w:val="left" w:pos="1848"/>
        </w:tabs>
        <w:jc w:val="center"/>
        <w:rPr>
          <w:rFonts w:cs="Arial"/>
          <w:b/>
          <w:bCs/>
          <w:sz w:val="22"/>
          <w:lang w:val="ro-RO"/>
        </w:rPr>
      </w:pPr>
      <w:r>
        <w:rPr>
          <w:rFonts w:cs="Arial"/>
          <w:b/>
          <w:bCs/>
          <w:sz w:val="22"/>
          <w:lang w:val="ro-RO"/>
        </w:rPr>
        <w:t>STRATEGIA DE DEZVOLTARE LOCALĂ</w:t>
      </w:r>
    </w:p>
    <w:p w14:paraId="76FFB6BA">
      <w:pPr>
        <w:tabs>
          <w:tab w:val="left" w:pos="1848"/>
        </w:tabs>
        <w:ind w:firstLine="0"/>
        <w:rPr>
          <w:rFonts w:cs="Arial"/>
          <w:b/>
          <w:bCs/>
          <w:sz w:val="22"/>
          <w:lang w:val="ro-RO"/>
        </w:rPr>
      </w:pPr>
    </w:p>
    <w:p w14:paraId="18ACDDE0">
      <w:pPr>
        <w:tabs>
          <w:tab w:val="left" w:pos="1848"/>
        </w:tabs>
        <w:rPr>
          <w:rFonts w:cs="Arial"/>
          <w:b/>
          <w:bCs/>
          <w:sz w:val="22"/>
          <w:lang w:val="ro-RO"/>
        </w:rPr>
      </w:pPr>
    </w:p>
    <w:p w14:paraId="012FB609">
      <w:pPr>
        <w:pStyle w:val="3"/>
        <w:numPr>
          <w:ilvl w:val="1"/>
          <w:numId w:val="39"/>
        </w:numPr>
        <w:rPr>
          <w:rFonts w:cs="Arial"/>
          <w:sz w:val="22"/>
          <w:szCs w:val="22"/>
          <w:lang w:val="ro-RO"/>
        </w:rPr>
      </w:pPr>
      <w:bookmarkStart w:id="77" w:name="_Toc201926340"/>
      <w:r>
        <w:rPr>
          <w:rFonts w:cs="Arial"/>
          <w:sz w:val="22"/>
          <w:szCs w:val="22"/>
          <w:lang w:val="ro-RO"/>
        </w:rPr>
        <w:t>VIZIUNEA STRATEGIEI LOCALE</w:t>
      </w:r>
      <w:bookmarkEnd w:id="77"/>
    </w:p>
    <w:p w14:paraId="59278C5B">
      <w:pPr>
        <w:rPr>
          <w:rFonts w:cs="Arial"/>
          <w:sz w:val="22"/>
          <w:lang w:val="ro-RO"/>
        </w:rPr>
      </w:pPr>
      <w:r>
        <w:rPr>
          <w:rFonts w:cs="Arial"/>
          <w:sz w:val="22"/>
          <w:lang w:val="ro-RO"/>
        </w:rPr>
        <w:t>Șimian 2027 (2030): Model de dezvoltare rurală integrată, bazat pe valorificarea strategică a Dunării și a patrimoniului cultural, transformarea digitală a serviciilor publice și crearea unei economii regeneratoare, centrate pe turism sustenabil, agricultură inteligentă și energie verde, într-un cadru de coeziune socială și reziliență climatică.</w:t>
      </w:r>
    </w:p>
    <w:p w14:paraId="3DDFF1F8">
      <w:pPr>
        <w:rPr>
          <w:rFonts w:cs="Arial"/>
          <w:b/>
          <w:bCs/>
          <w:sz w:val="22"/>
          <w:lang w:val="ro-RO"/>
        </w:rPr>
      </w:pPr>
      <w:r>
        <w:rPr>
          <w:rFonts w:cs="Arial"/>
          <w:b/>
          <w:bCs/>
          <w:sz w:val="22"/>
          <w:lang w:val="ro-RO"/>
        </w:rPr>
        <w:t>Misiunea</w:t>
      </w:r>
    </w:p>
    <w:p w14:paraId="305B5B45">
      <w:pPr>
        <w:rPr>
          <w:rFonts w:cs="Arial"/>
          <w:sz w:val="22"/>
          <w:lang w:val="ro-RO"/>
        </w:rPr>
      </w:pPr>
      <w:r>
        <w:rPr>
          <w:rFonts w:cs="Arial"/>
          <w:sz w:val="22"/>
          <w:lang w:val="ro-RO"/>
        </w:rPr>
        <w:t>Misiunea Comunei Șimian este de a crea un cadru inovator, participativ și sustenabil pentru dezvoltarea locală, prin valorificarea inteligentă a resurselor naturale și culturale, modernizarea infrastructurii și digitalizarea serviciilor publice, stimularea economiei locale prin turism și agricultură ecologică, precum și promovarea incluziunii sociale și a rezilienței comunității față de provocările climatice, în beneficiul tuturor locuitorilor.</w:t>
      </w:r>
    </w:p>
    <w:p w14:paraId="05EC9C9D">
      <w:pPr>
        <w:rPr>
          <w:rFonts w:cs="Arial"/>
          <w:sz w:val="22"/>
          <w:lang w:val="ro-RO"/>
        </w:rPr>
      </w:pPr>
      <w:r>
        <w:rPr>
          <w:rFonts w:cs="Arial"/>
          <w:sz w:val="22"/>
          <w:lang w:val="ro-RO"/>
        </w:rPr>
        <w:t>Elemente cheie ale misiunii:</w:t>
      </w:r>
    </w:p>
    <w:p w14:paraId="6DC7D7BC">
      <w:pPr>
        <w:pStyle w:val="37"/>
        <w:numPr>
          <w:ilvl w:val="0"/>
          <w:numId w:val="4"/>
        </w:numPr>
        <w:rPr>
          <w:rFonts w:cs="Arial"/>
          <w:sz w:val="22"/>
          <w:lang w:val="ro-RO"/>
        </w:rPr>
      </w:pPr>
      <w:r>
        <w:rPr>
          <w:rFonts w:cs="Arial"/>
          <w:sz w:val="22"/>
          <w:lang w:val="ro-RO"/>
        </w:rPr>
        <w:t>Inovare și sustenabilitate: Promovarea unor soluții moderne și responsabile pentru dezvoltare.</w:t>
      </w:r>
    </w:p>
    <w:p w14:paraId="5FDE24EF">
      <w:pPr>
        <w:pStyle w:val="37"/>
        <w:numPr>
          <w:ilvl w:val="0"/>
          <w:numId w:val="4"/>
        </w:numPr>
        <w:rPr>
          <w:rFonts w:cs="Arial"/>
          <w:sz w:val="22"/>
          <w:lang w:val="ro-RO"/>
        </w:rPr>
      </w:pPr>
      <w:r>
        <w:rPr>
          <w:rFonts w:cs="Arial"/>
          <w:sz w:val="22"/>
          <w:lang w:val="ro-RO"/>
        </w:rPr>
        <w:t>Participare și transparență: Implicarea activă a comunității în procesul decizional și în implementarea proiectelor.</w:t>
      </w:r>
    </w:p>
    <w:p w14:paraId="683BDD28">
      <w:pPr>
        <w:pStyle w:val="37"/>
        <w:numPr>
          <w:ilvl w:val="0"/>
          <w:numId w:val="4"/>
        </w:numPr>
        <w:rPr>
          <w:rFonts w:cs="Arial"/>
          <w:sz w:val="22"/>
          <w:lang w:val="ro-RO"/>
        </w:rPr>
      </w:pPr>
      <w:r>
        <w:rPr>
          <w:rFonts w:cs="Arial"/>
          <w:sz w:val="22"/>
          <w:lang w:val="ro-RO"/>
        </w:rPr>
        <w:t>Valorificarea resurselor locale: Punerea în valoare a Dunării, a patrimoniului cultural și a potențialului agricol.</w:t>
      </w:r>
    </w:p>
    <w:p w14:paraId="5BA03CCB">
      <w:pPr>
        <w:pStyle w:val="37"/>
        <w:numPr>
          <w:ilvl w:val="0"/>
          <w:numId w:val="4"/>
        </w:numPr>
        <w:rPr>
          <w:rFonts w:cs="Arial"/>
          <w:sz w:val="22"/>
          <w:lang w:val="ro-RO"/>
        </w:rPr>
      </w:pPr>
      <w:r>
        <w:rPr>
          <w:rFonts w:cs="Arial"/>
          <w:sz w:val="22"/>
          <w:lang w:val="ro-RO"/>
        </w:rPr>
        <w:t>Modernizare și digitalizare: Creșterea calității serviciilor publice și a infrastructurii prin tehnologii noi.</w:t>
      </w:r>
    </w:p>
    <w:p w14:paraId="2D491BDA">
      <w:pPr>
        <w:pStyle w:val="37"/>
        <w:numPr>
          <w:ilvl w:val="0"/>
          <w:numId w:val="4"/>
        </w:numPr>
        <w:rPr>
          <w:rFonts w:cs="Arial"/>
          <w:sz w:val="22"/>
          <w:lang w:val="ro-RO"/>
        </w:rPr>
      </w:pPr>
      <w:r>
        <w:rPr>
          <w:rFonts w:cs="Arial"/>
          <w:sz w:val="22"/>
          <w:lang w:val="ro-RO"/>
        </w:rPr>
        <w:t>Economie locală diversificată: Sprijinirea antreprenoriatului, a turismului sustenabil și a agriculturii inteligente.</w:t>
      </w:r>
    </w:p>
    <w:p w14:paraId="68BE4772">
      <w:pPr>
        <w:pStyle w:val="37"/>
        <w:numPr>
          <w:ilvl w:val="0"/>
          <w:numId w:val="4"/>
        </w:numPr>
        <w:rPr>
          <w:rFonts w:cs="Arial"/>
          <w:sz w:val="22"/>
          <w:lang w:val="ro-RO"/>
        </w:rPr>
      </w:pPr>
      <w:r>
        <w:rPr>
          <w:rFonts w:cs="Arial"/>
          <w:sz w:val="22"/>
          <w:lang w:val="ro-RO"/>
        </w:rPr>
        <w:t>Incluziune și reziliență: Asigurarea accesului echitabil la oportunități și consolidarea capacității comunității de a face față schimbărilor.</w:t>
      </w:r>
    </w:p>
    <w:p w14:paraId="515008D6">
      <w:pPr>
        <w:rPr>
          <w:rFonts w:cs="Arial"/>
          <w:sz w:val="22"/>
          <w:lang w:val="ro-RO"/>
        </w:rPr>
      </w:pPr>
      <w:r>
        <w:rPr>
          <w:rFonts w:cs="Arial"/>
          <w:sz w:val="22"/>
          <w:lang w:val="ro-RO"/>
        </w:rPr>
        <w:t>Această misiune reflectă angajamentul administrației locale pentru o dezvoltare echilibrată, inovatoare și orientată către viitor, în acord cu viziunea și prioritățile strategice ale comunei.</w:t>
      </w:r>
    </w:p>
    <w:p w14:paraId="13431DDD">
      <w:pPr>
        <w:pStyle w:val="3"/>
        <w:numPr>
          <w:ilvl w:val="1"/>
          <w:numId w:val="39"/>
        </w:numPr>
        <w:rPr>
          <w:rFonts w:cs="Arial"/>
          <w:sz w:val="22"/>
          <w:szCs w:val="22"/>
          <w:lang w:val="ro-RO"/>
        </w:rPr>
      </w:pPr>
      <w:bookmarkStart w:id="78" w:name="_Toc201926341"/>
      <w:r>
        <w:rPr>
          <w:rFonts w:cs="Arial"/>
          <w:sz w:val="22"/>
          <w:szCs w:val="22"/>
          <w:lang w:val="ro-RO"/>
        </w:rPr>
        <w:t>Obiectiv general</w:t>
      </w:r>
      <w:bookmarkEnd w:id="78"/>
      <w:r>
        <w:rPr>
          <w:rFonts w:cs="Arial"/>
          <w:sz w:val="22"/>
          <w:szCs w:val="22"/>
          <w:lang w:val="ro-RO"/>
        </w:rPr>
        <w:t xml:space="preserve">  </w:t>
      </w:r>
    </w:p>
    <w:p w14:paraId="31D74048">
      <w:pPr>
        <w:rPr>
          <w:rFonts w:cs="Arial"/>
          <w:sz w:val="22"/>
          <w:lang w:val="ro-RO"/>
        </w:rPr>
      </w:pPr>
      <w:r>
        <w:rPr>
          <w:rFonts w:cs="Arial"/>
          <w:sz w:val="22"/>
          <w:lang w:val="ro-RO"/>
        </w:rPr>
        <w:t>Dezvoltarea durabilă, integrată și inteligentă a Comunei Șimian, prin valorificarea resurselor locale, modernizarea infrastructurii, diversificarea economiei și îmbunătățirea calității vieții, astfel încât să crească atractivitatea comunei pentru locuitori, investitori și vizitatori, asigurând coeziune socială, protecția mediului și adaptarea la provocările viitorului.</w:t>
      </w:r>
    </w:p>
    <w:p w14:paraId="05947A8E">
      <w:pPr>
        <w:pStyle w:val="3"/>
        <w:numPr>
          <w:ilvl w:val="1"/>
          <w:numId w:val="39"/>
        </w:numPr>
        <w:rPr>
          <w:rFonts w:cs="Arial"/>
          <w:sz w:val="22"/>
          <w:szCs w:val="22"/>
          <w:lang w:val="ro-RO"/>
        </w:rPr>
      </w:pPr>
      <w:bookmarkStart w:id="79" w:name="_Toc201926342"/>
      <w:r>
        <w:rPr>
          <w:rFonts w:cs="Arial"/>
          <w:sz w:val="22"/>
          <w:szCs w:val="22"/>
          <w:lang w:val="ro-RO"/>
        </w:rPr>
        <w:t>Direcții strategice</w:t>
      </w:r>
      <w:bookmarkEnd w:id="79"/>
      <w:r>
        <w:rPr>
          <w:rFonts w:cs="Arial"/>
          <w:sz w:val="22"/>
          <w:szCs w:val="22"/>
          <w:lang w:val="ro-RO"/>
        </w:rPr>
        <w:t xml:space="preserve"> </w:t>
      </w:r>
    </w:p>
    <w:p w14:paraId="2C2E5BD3">
      <w:pPr>
        <w:rPr>
          <w:rFonts w:cs="Arial"/>
          <w:sz w:val="22"/>
          <w:lang w:val="ro-RO"/>
        </w:rPr>
      </w:pPr>
      <w:r>
        <w:rPr>
          <w:rFonts w:cs="Arial"/>
          <w:sz w:val="22"/>
          <w:lang w:val="ro-RO"/>
        </w:rPr>
        <w:t>Strategia de Dezvoltare Locală a Comunei Șimian este fundamentată pe consultarea activă a comunității, reflectând interesele și prioritățile locuitorilor, identificate prin chestionare. Obiectivele strategiei se vor concretiza prin proiecte, programe și subprograme, elaborate cu respectarea următoarelor principii:</w:t>
      </w:r>
    </w:p>
    <w:p w14:paraId="09857703">
      <w:pPr>
        <w:pStyle w:val="37"/>
        <w:numPr>
          <w:ilvl w:val="0"/>
          <w:numId w:val="4"/>
        </w:numPr>
        <w:rPr>
          <w:rFonts w:cs="Arial"/>
          <w:sz w:val="22"/>
          <w:lang w:val="ro-RO"/>
        </w:rPr>
      </w:pPr>
      <w:r>
        <w:rPr>
          <w:rFonts w:cs="Arial"/>
          <w:sz w:val="22"/>
          <w:lang w:val="ro-RO"/>
        </w:rPr>
        <w:t>Corelarea între obiective și intervenții: Toate proiectele și programele vor fi aliniate cu scopurile stabilite în cadrul strategiei, asigurând coerență și eficiență în atingerea rezultatelor dorite.</w:t>
      </w:r>
    </w:p>
    <w:p w14:paraId="60335AE5">
      <w:pPr>
        <w:pStyle w:val="37"/>
        <w:numPr>
          <w:ilvl w:val="0"/>
          <w:numId w:val="4"/>
        </w:numPr>
        <w:rPr>
          <w:rFonts w:cs="Arial"/>
          <w:sz w:val="22"/>
          <w:lang w:val="ro-RO"/>
        </w:rPr>
      </w:pPr>
      <w:r>
        <w:rPr>
          <w:rFonts w:cs="Arial"/>
          <w:sz w:val="22"/>
          <w:lang w:val="ro-RO"/>
        </w:rPr>
        <w:t>Transparență și participare publică: Procesul de elaborare și implementare va include mecanisme de consultare și dezbatere, pentru a asigura o largă popularizare și asumare a deciziilor la nivel comunitar.</w:t>
      </w:r>
    </w:p>
    <w:p w14:paraId="2D32F4DC">
      <w:pPr>
        <w:pStyle w:val="37"/>
        <w:numPr>
          <w:ilvl w:val="0"/>
          <w:numId w:val="4"/>
        </w:numPr>
        <w:rPr>
          <w:rFonts w:cs="Arial"/>
          <w:sz w:val="22"/>
          <w:lang w:val="ro-RO"/>
        </w:rPr>
      </w:pPr>
      <w:r>
        <w:rPr>
          <w:rFonts w:cs="Arial"/>
          <w:sz w:val="22"/>
          <w:lang w:val="ro-RO"/>
        </w:rPr>
        <w:t>Gestionarea eficientă a resurselor: În contextul unor resurse financiare limitate, proiectele vor fi prioritizate în funcție de impact și oportunitate, fiind utilizate instrumente de cofinanțare și parteneriate, cu evaluarea continuă a surselor de finanțare disponibile, atât prezente cât și viitoare.</w:t>
      </w:r>
    </w:p>
    <w:p w14:paraId="16E86475">
      <w:pPr>
        <w:pStyle w:val="37"/>
        <w:numPr>
          <w:ilvl w:val="0"/>
          <w:numId w:val="4"/>
        </w:numPr>
        <w:rPr>
          <w:rFonts w:cs="Arial"/>
          <w:sz w:val="22"/>
          <w:lang w:val="ro-RO"/>
        </w:rPr>
      </w:pPr>
      <w:r>
        <w:rPr>
          <w:rFonts w:cs="Arial"/>
          <w:sz w:val="22"/>
          <w:lang w:val="ro-RO"/>
        </w:rPr>
        <w:t>Evaluarea constantă a oportunităților: Autoritatea publică locală va analiza permanent oportunitățile de investiții, ținând cont de opțiunile și nevoile comunității, pentru a stimula responsabilitatea individuală și colectivă, precum și parteneriatul public-privat în dezvoltarea locală.</w:t>
      </w:r>
    </w:p>
    <w:p w14:paraId="6C628962">
      <w:pPr>
        <w:pStyle w:val="37"/>
        <w:numPr>
          <w:ilvl w:val="0"/>
          <w:numId w:val="4"/>
        </w:numPr>
        <w:rPr>
          <w:rFonts w:cs="Arial"/>
          <w:sz w:val="22"/>
          <w:lang w:val="ro-RO"/>
        </w:rPr>
      </w:pPr>
      <w:r>
        <w:rPr>
          <w:rFonts w:cs="Arial"/>
          <w:sz w:val="22"/>
          <w:lang w:val="ro-RO"/>
        </w:rPr>
        <w:t>Implicarea tuturor actorilor relevanți: Implementarea strategiei va implica societatea civilă, mediul privat, grupurile de interese și administrația locală, asigurând colaborare și susținere pe termen lung.</w:t>
      </w:r>
    </w:p>
    <w:p w14:paraId="1B3D6D3D">
      <w:pPr>
        <w:rPr>
          <w:rFonts w:cs="Arial"/>
          <w:sz w:val="22"/>
          <w:lang w:val="ro-RO"/>
        </w:rPr>
      </w:pPr>
      <w:r>
        <w:rPr>
          <w:rFonts w:cs="Arial"/>
          <w:sz w:val="22"/>
          <w:lang w:val="ro-RO"/>
        </w:rPr>
        <w:t>SDL Șimian pornește de la următoarele direcții de bază:</w:t>
      </w:r>
    </w:p>
    <w:p w14:paraId="1E948192">
      <w:pPr>
        <w:pStyle w:val="37"/>
        <w:numPr>
          <w:ilvl w:val="3"/>
          <w:numId w:val="4"/>
        </w:numPr>
        <w:rPr>
          <w:rFonts w:cs="Arial"/>
          <w:sz w:val="22"/>
          <w:lang w:val="ro-RO"/>
        </w:rPr>
      </w:pPr>
      <w:bookmarkStart w:id="80" w:name="OLE_LINK23"/>
      <w:r>
        <w:rPr>
          <w:rFonts w:cs="Arial"/>
          <w:sz w:val="22"/>
          <w:lang w:val="ro-RO"/>
        </w:rPr>
        <w:t>Promovarea imaginii comunei și a calității serviciilor publice, pentru a crește atractivitatea locală și regională.</w:t>
      </w:r>
    </w:p>
    <w:p w14:paraId="423B91A9">
      <w:pPr>
        <w:pStyle w:val="37"/>
        <w:numPr>
          <w:ilvl w:val="3"/>
          <w:numId w:val="4"/>
        </w:numPr>
        <w:rPr>
          <w:rFonts w:cs="Arial"/>
          <w:sz w:val="22"/>
          <w:lang w:val="ro-RO"/>
        </w:rPr>
      </w:pPr>
      <w:r>
        <w:rPr>
          <w:rFonts w:cs="Arial"/>
          <w:sz w:val="22"/>
          <w:lang w:val="ro-RO"/>
        </w:rPr>
        <w:t>Îmbunătățirea condițiilor de trai pentru locuitori, prin crearea de locuri de muncă, facilitarea accesului la locuințe și dezvoltarea infrastructurii.</w:t>
      </w:r>
    </w:p>
    <w:p w14:paraId="024FCF26">
      <w:pPr>
        <w:pStyle w:val="37"/>
        <w:numPr>
          <w:ilvl w:val="3"/>
          <w:numId w:val="4"/>
        </w:numPr>
        <w:rPr>
          <w:rFonts w:cs="Arial"/>
          <w:sz w:val="22"/>
          <w:lang w:val="ro-RO"/>
        </w:rPr>
      </w:pPr>
      <w:r>
        <w:rPr>
          <w:rFonts w:cs="Arial"/>
          <w:sz w:val="22"/>
          <w:lang w:val="ro-RO"/>
        </w:rPr>
        <w:t>Informarea și sprijinirea investitorilor privați, atât pentru proiecte individuale, cât și pentru parteneriate, prin consultare permanentă și facilități dedicate.</w:t>
      </w:r>
    </w:p>
    <w:p w14:paraId="4ACA949C">
      <w:pPr>
        <w:pStyle w:val="37"/>
        <w:numPr>
          <w:ilvl w:val="3"/>
          <w:numId w:val="4"/>
        </w:numPr>
        <w:rPr>
          <w:rFonts w:cs="Arial"/>
          <w:sz w:val="22"/>
          <w:lang w:val="ro-RO"/>
        </w:rPr>
      </w:pPr>
      <w:r>
        <w:rPr>
          <w:rFonts w:cs="Arial"/>
          <w:sz w:val="22"/>
          <w:lang w:val="ro-RO"/>
        </w:rPr>
        <w:t>Adaptabilitate la schimbare: Strategia va fi flexibilă, răspunzând rapid la evoluțiile din comunitate și la nevoile emergente.</w:t>
      </w:r>
    </w:p>
    <w:p w14:paraId="58B3FA2B">
      <w:pPr>
        <w:pStyle w:val="37"/>
        <w:numPr>
          <w:ilvl w:val="3"/>
          <w:numId w:val="4"/>
        </w:numPr>
        <w:rPr>
          <w:rFonts w:cs="Arial"/>
          <w:sz w:val="22"/>
          <w:lang w:val="ro-RO"/>
        </w:rPr>
      </w:pPr>
      <w:r>
        <w:rPr>
          <w:rFonts w:cs="Arial"/>
          <w:sz w:val="22"/>
          <w:lang w:val="ro-RO"/>
        </w:rPr>
        <w:t>Accent pe caracterul social și participativ: Toate acțiunile vor fi construite pe implicarea și sprijinul comunității, pentru a asigura sustenabilitatea dezvoltării</w:t>
      </w:r>
      <w:bookmarkEnd w:id="80"/>
      <w:r>
        <w:rPr>
          <w:rFonts w:cs="Arial"/>
          <w:sz w:val="22"/>
          <w:lang w:val="ro-RO"/>
        </w:rPr>
        <w:t>.</w:t>
      </w:r>
    </w:p>
    <w:p w14:paraId="0B9117C5">
      <w:pPr>
        <w:rPr>
          <w:rFonts w:cs="Arial"/>
          <w:sz w:val="22"/>
          <w:lang w:val="ro-RO"/>
        </w:rPr>
      </w:pPr>
      <w:r>
        <w:rPr>
          <w:rFonts w:cs="Arial"/>
          <w:sz w:val="22"/>
          <w:lang w:val="ro-RO"/>
        </w:rPr>
        <w:t>Noțiunea strategică de dezvoltare pentru Comuna Șimian se traduce printr-un pachet de acțiuni care urmăresc creșterea economică locală, crearea de noi locuri de muncă și îmbunătățirea calității vieții și a mediului. Valorificarea poziției geostrategice a comunei, prin atragerea de investiții, dezvoltarea activităților economice și stimularea inițiativei private, reprezintă pilonii centrali ai strategiei.</w:t>
      </w:r>
    </w:p>
    <w:p w14:paraId="1A6B2791">
      <w:pPr>
        <w:rPr>
          <w:rFonts w:cs="Arial"/>
          <w:sz w:val="22"/>
          <w:lang w:val="ro-RO"/>
        </w:rPr>
      </w:pPr>
      <w:r>
        <w:rPr>
          <w:rFonts w:cs="Arial"/>
          <w:sz w:val="22"/>
          <w:lang w:val="ro-RO"/>
        </w:rPr>
        <w:t>Astfel, SDL Șimian 2025-2027 propune 5 direcții strategice relevante pentru dezvoltarea comunei:</w:t>
      </w:r>
    </w:p>
    <w:p w14:paraId="0C2E81FA">
      <w:pPr>
        <w:rPr>
          <w:rFonts w:cs="Arial"/>
          <w:sz w:val="22"/>
          <w:lang w:val="ro-RO"/>
        </w:rPr>
      </w:pPr>
    </w:p>
    <w:p w14:paraId="082D74A5">
      <w:pPr>
        <w:pStyle w:val="37"/>
        <w:numPr>
          <w:ilvl w:val="0"/>
          <w:numId w:val="40"/>
        </w:numPr>
        <w:rPr>
          <w:rFonts w:cs="Arial"/>
          <w:sz w:val="22"/>
          <w:lang w:val="ro-RO"/>
        </w:rPr>
      </w:pPr>
      <w:bookmarkStart w:id="81" w:name="OLE_LINK24"/>
      <w:r>
        <w:rPr>
          <w:rFonts w:cs="Arial"/>
          <w:sz w:val="22"/>
          <w:lang w:val="ro-RO"/>
        </w:rPr>
        <w:t>Modernizarea și extinderea infrastructurii de bază</w:t>
      </w:r>
    </w:p>
    <w:p w14:paraId="33B4F96A">
      <w:pPr>
        <w:pStyle w:val="37"/>
        <w:numPr>
          <w:ilvl w:val="3"/>
          <w:numId w:val="4"/>
        </w:numPr>
        <w:rPr>
          <w:rFonts w:cs="Arial"/>
          <w:sz w:val="22"/>
          <w:lang w:val="ro-RO"/>
        </w:rPr>
      </w:pPr>
      <w:r>
        <w:rPr>
          <w:rFonts w:cs="Arial"/>
          <w:sz w:val="22"/>
          <w:lang w:val="ro-RO"/>
        </w:rPr>
        <w:t>Dezvoltarea și reabilitarea rețelelor de apă, canalizare, drumuri și iluminat public, precum și extinderea accesului la infrastructură digitală pentru toate satele componente.</w:t>
      </w:r>
    </w:p>
    <w:p w14:paraId="40D134DE">
      <w:pPr>
        <w:pStyle w:val="37"/>
        <w:numPr>
          <w:ilvl w:val="0"/>
          <w:numId w:val="40"/>
        </w:numPr>
        <w:rPr>
          <w:rFonts w:cs="Arial"/>
          <w:sz w:val="22"/>
          <w:lang w:val="ro-RO"/>
        </w:rPr>
      </w:pPr>
      <w:r>
        <w:rPr>
          <w:rFonts w:cs="Arial"/>
          <w:sz w:val="22"/>
          <w:lang w:val="ro-RO"/>
        </w:rPr>
        <w:t>Dezvoltarea economică locală și diversificarea surselor de venit</w:t>
      </w:r>
    </w:p>
    <w:p w14:paraId="34E60EED">
      <w:pPr>
        <w:pStyle w:val="37"/>
        <w:numPr>
          <w:ilvl w:val="3"/>
          <w:numId w:val="4"/>
        </w:numPr>
        <w:rPr>
          <w:rFonts w:cs="Arial"/>
          <w:sz w:val="22"/>
          <w:lang w:val="ro-RO"/>
        </w:rPr>
      </w:pPr>
      <w:r>
        <w:rPr>
          <w:rFonts w:cs="Arial"/>
          <w:sz w:val="22"/>
          <w:lang w:val="ro-RO"/>
        </w:rPr>
        <w:t>Sprijinirea antreprenoriatului, a inițiativelor private și a cooperativelor agricole, promovarea turismului sustenabil și valorificarea resurselor naturale și culturale pentru crearea de noi locuri de muncă.</w:t>
      </w:r>
    </w:p>
    <w:p w14:paraId="78D7719C">
      <w:pPr>
        <w:pStyle w:val="37"/>
        <w:numPr>
          <w:ilvl w:val="0"/>
          <w:numId w:val="40"/>
        </w:numPr>
        <w:rPr>
          <w:rFonts w:cs="Arial"/>
          <w:sz w:val="22"/>
          <w:lang w:val="ro-RO"/>
        </w:rPr>
      </w:pPr>
      <w:r>
        <w:rPr>
          <w:rFonts w:cs="Arial"/>
          <w:sz w:val="22"/>
          <w:lang w:val="ro-RO"/>
        </w:rPr>
        <w:t>Protecția mediului și tranziția către o economie verde</w:t>
      </w:r>
    </w:p>
    <w:p w14:paraId="7C2E73DD">
      <w:pPr>
        <w:pStyle w:val="37"/>
        <w:numPr>
          <w:ilvl w:val="3"/>
          <w:numId w:val="4"/>
        </w:numPr>
        <w:rPr>
          <w:rFonts w:cs="Arial"/>
          <w:sz w:val="22"/>
          <w:lang w:val="ro-RO"/>
        </w:rPr>
      </w:pPr>
      <w:r>
        <w:rPr>
          <w:rFonts w:cs="Arial"/>
          <w:sz w:val="22"/>
          <w:lang w:val="ro-RO"/>
        </w:rPr>
        <w:t>Implementarea de proiecte pentru gestionarea eficientă a deșeurilor, protejarea biodiversității, utilizarea energiilor regenerabile și adaptarea la schimbările climatice.</w:t>
      </w:r>
    </w:p>
    <w:p w14:paraId="1D1FF1C7">
      <w:pPr>
        <w:pStyle w:val="37"/>
        <w:numPr>
          <w:ilvl w:val="0"/>
          <w:numId w:val="40"/>
        </w:numPr>
        <w:rPr>
          <w:rFonts w:cs="Arial"/>
          <w:sz w:val="22"/>
          <w:lang w:val="ro-RO"/>
        </w:rPr>
      </w:pPr>
      <w:r>
        <w:rPr>
          <w:rFonts w:cs="Arial"/>
          <w:sz w:val="22"/>
          <w:lang w:val="ro-RO"/>
        </w:rPr>
        <w:t>Creșterea calității vieții și incluziunii sociale</w:t>
      </w:r>
    </w:p>
    <w:p w14:paraId="6D8B28F2">
      <w:pPr>
        <w:pStyle w:val="37"/>
        <w:numPr>
          <w:ilvl w:val="3"/>
          <w:numId w:val="4"/>
        </w:numPr>
        <w:rPr>
          <w:rFonts w:cs="Arial"/>
          <w:sz w:val="22"/>
          <w:lang w:val="ro-RO"/>
        </w:rPr>
      </w:pPr>
      <w:r>
        <w:rPr>
          <w:rFonts w:cs="Arial"/>
          <w:sz w:val="22"/>
          <w:lang w:val="ro-RO"/>
        </w:rPr>
        <w:t>Îmbunătățirea accesului la servicii publice de calitate (educație, sănătate, cultură, sport), reducerea disparităților sociale și sprijinirea grupurilor vulnerabile.</w:t>
      </w:r>
    </w:p>
    <w:p w14:paraId="0EAEBAF6">
      <w:pPr>
        <w:pStyle w:val="37"/>
        <w:numPr>
          <w:ilvl w:val="0"/>
          <w:numId w:val="40"/>
        </w:numPr>
        <w:rPr>
          <w:rFonts w:cs="Arial"/>
          <w:sz w:val="22"/>
          <w:lang w:val="ro-RO"/>
        </w:rPr>
      </w:pPr>
      <w:r>
        <w:rPr>
          <w:rFonts w:cs="Arial"/>
          <w:sz w:val="22"/>
          <w:lang w:val="ro-RO"/>
        </w:rPr>
        <w:t>Guvernanță locală participativă și digitalizare</w:t>
      </w:r>
    </w:p>
    <w:p w14:paraId="32D54C4B">
      <w:pPr>
        <w:pStyle w:val="37"/>
        <w:numPr>
          <w:ilvl w:val="3"/>
          <w:numId w:val="4"/>
        </w:numPr>
        <w:rPr>
          <w:rFonts w:cs="Arial"/>
          <w:sz w:val="22"/>
          <w:lang w:val="ro-RO"/>
        </w:rPr>
      </w:pPr>
      <w:r>
        <w:rPr>
          <w:rFonts w:cs="Arial"/>
          <w:sz w:val="22"/>
          <w:lang w:val="ro-RO"/>
        </w:rPr>
        <w:t>Consolidarea transparenței, a implicării cetățenilor în procesul decizional, digitalizarea serviciilor publice și dezvoltarea parteneriatelor cu mediul privat, societatea civilă și instituțiile regionale.</w:t>
      </w:r>
    </w:p>
    <w:bookmarkEnd w:id="81"/>
    <w:p w14:paraId="21A28FEA">
      <w:pPr>
        <w:rPr>
          <w:rFonts w:cs="Arial"/>
          <w:sz w:val="22"/>
          <w:lang w:val="ro-RO"/>
        </w:rPr>
      </w:pPr>
    </w:p>
    <w:p w14:paraId="3F75FEE2">
      <w:pPr>
        <w:rPr>
          <w:rFonts w:cs="Arial"/>
          <w:sz w:val="22"/>
          <w:lang w:val="ro-RO"/>
        </w:rPr>
      </w:pPr>
    </w:p>
    <w:p w14:paraId="14833392">
      <w:pPr>
        <w:pStyle w:val="3"/>
        <w:numPr>
          <w:ilvl w:val="1"/>
          <w:numId w:val="39"/>
        </w:numPr>
        <w:rPr>
          <w:rFonts w:cs="Arial"/>
          <w:sz w:val="22"/>
          <w:szCs w:val="22"/>
          <w:lang w:val="ro-RO"/>
        </w:rPr>
      </w:pPr>
      <w:bookmarkStart w:id="82" w:name="_Toc201926343"/>
      <w:r>
        <w:rPr>
          <w:rFonts w:cs="Arial"/>
          <w:sz w:val="22"/>
          <w:szCs w:val="22"/>
          <w:lang w:val="ro-RO"/>
        </w:rPr>
        <w:t>TEME ORIZONTALE</w:t>
      </w:r>
      <w:bookmarkEnd w:id="82"/>
    </w:p>
    <w:p w14:paraId="27B1342B">
      <w:pPr>
        <w:rPr>
          <w:rFonts w:cs="Arial"/>
          <w:sz w:val="22"/>
          <w:lang w:val="ro-RO"/>
        </w:rPr>
      </w:pPr>
      <w:bookmarkStart w:id="83" w:name="OLE_LINK3"/>
      <w:r>
        <w:rPr>
          <w:rFonts w:cs="Arial"/>
          <w:sz w:val="22"/>
          <w:lang w:val="ro-RO"/>
        </w:rPr>
        <w:t>Egalitatea de șanse reprezintă un principiu fundamental al politicilor Fondurilor Europene, conform Regulamentului 1083/2006 al Consiliului Uniunii Europene. Promovarea egalității de șanse în viața socială pentru toate persoanele, indiferent de sex, constituie o prioritate esențială pentru societatea românească, fiind considerată un element cheie în respectarea drepturilor fundamentale ale oamenilor. În elaborarea strategiei de dezvoltare locală a fost avut în vedere coordonarea programelor și politicilor sectoriale (servicii sociale, educație, sănătate) cu problemele teritoriale specifice, pentru a reduce disparitățile de dezvoltare între zonele urbane și rurale și pentru a asigura incluziunea grupului defavorizat sau expus riscului de marginalizare.</w:t>
      </w:r>
    </w:p>
    <w:p w14:paraId="542B2724">
      <w:pPr>
        <w:rPr>
          <w:rFonts w:cs="Arial"/>
          <w:sz w:val="22"/>
          <w:lang w:val="ro-RO"/>
        </w:rPr>
      </w:pPr>
      <w:r>
        <w:rPr>
          <w:rFonts w:cs="Arial"/>
          <w:sz w:val="22"/>
          <w:lang w:val="ro-RO"/>
        </w:rPr>
        <w:t>În procesul de identificare a problemelor prioritare, s-a analizat prezența situațiilor discriminatorii și s-a promovat egalitatea de șanse între bărbați și femei, tineri și vârstnici, majoritari și minorități etnice, precum și accesul persoanelor cu dizabilități la viața socială și economică.</w:t>
      </w:r>
    </w:p>
    <w:p w14:paraId="32D78D9B">
      <w:pPr>
        <w:rPr>
          <w:rFonts w:cs="Arial"/>
          <w:sz w:val="22"/>
          <w:lang w:val="ro-RO"/>
        </w:rPr>
      </w:pPr>
      <w:r>
        <w:rPr>
          <w:rFonts w:cs="Arial"/>
          <w:sz w:val="22"/>
          <w:lang w:val="ro-RO"/>
        </w:rPr>
        <w:t>În cazul comunei Șimian, analiza indicatorilor relevă că nu există probleme semnificative de egalitate de șanse: nu s-au identificat cazuri de discriminare pe piața muncii, în domeniul educațional sau la nivelul altor indicatori de dezvoltare umană.</w:t>
      </w:r>
    </w:p>
    <w:bookmarkEnd w:id="83"/>
    <w:p w14:paraId="47F89995">
      <w:pPr>
        <w:rPr>
          <w:rFonts w:cs="Arial"/>
          <w:sz w:val="22"/>
          <w:lang w:val="ro-RO"/>
        </w:rPr>
      </w:pPr>
    </w:p>
    <w:p w14:paraId="097156B5">
      <w:pPr>
        <w:pStyle w:val="4"/>
        <w:numPr>
          <w:ilvl w:val="2"/>
          <w:numId w:val="39"/>
        </w:numPr>
        <w:rPr>
          <w:rFonts w:cs="Arial"/>
          <w:sz w:val="22"/>
          <w:szCs w:val="22"/>
          <w:lang w:val="ro-RO"/>
        </w:rPr>
      </w:pPr>
      <w:bookmarkStart w:id="84" w:name="_Toc201926344"/>
      <w:r>
        <w:rPr>
          <w:rFonts w:cs="Arial"/>
          <w:sz w:val="22"/>
          <w:szCs w:val="22"/>
          <w:lang w:val="ro-RO"/>
        </w:rPr>
        <w:t>Dezvoltare durabilă</w:t>
      </w:r>
      <w:bookmarkEnd w:id="84"/>
      <w:r>
        <w:rPr>
          <w:rFonts w:cs="Arial"/>
          <w:sz w:val="22"/>
          <w:szCs w:val="22"/>
          <w:lang w:val="ro-RO"/>
        </w:rPr>
        <w:t xml:space="preserve"> </w:t>
      </w:r>
    </w:p>
    <w:p w14:paraId="5AB8995A">
      <w:pPr>
        <w:rPr>
          <w:rFonts w:cs="Arial"/>
          <w:sz w:val="22"/>
          <w:lang w:val="ro-RO"/>
        </w:rPr>
      </w:pPr>
      <w:r>
        <w:rPr>
          <w:rFonts w:cs="Arial"/>
          <w:sz w:val="22"/>
          <w:lang w:val="ro-RO"/>
        </w:rPr>
        <w:t>Conceptul de dezvoltare durabilă se referă la ansamblul formelor și metodelor de dezvoltare socio-economică ce urmăresc menținerea unui echilibru între sistemele sociale, economice și capitalul natural. Potrivit definiției consacrate de Comisia Mondială pentru Mediu și Dezvoltare (Raportul Brundtland), dezvoltarea durabilă presupune satisfacerea nevoilor generației actuale fără a compromite capacitatea generațiilor viitoare de a-și satisface propriile nevoi.</w:t>
      </w:r>
    </w:p>
    <w:p w14:paraId="76DFF44C">
      <w:pPr>
        <w:rPr>
          <w:rFonts w:cs="Arial"/>
          <w:sz w:val="22"/>
          <w:lang w:val="ro-RO"/>
        </w:rPr>
      </w:pPr>
      <w:r>
        <w:rPr>
          <w:rFonts w:cs="Arial"/>
          <w:sz w:val="22"/>
          <w:lang w:val="ro-RO"/>
        </w:rPr>
        <w:t>Durabilitatea pornește de la premisa că activitățile umane depind de mediul înconjurător și de resursele naturale. Sănătatea, siguranța socială și stabilitatea economică sunt elemente esențiale pentru calitatea vieții. Deși dezvoltarea economică trebuie să continue, strategiile adoptate trebuie să respecte limitele impuse de mediul natural și resursele planetei.</w:t>
      </w:r>
    </w:p>
    <w:p w14:paraId="08AC0950">
      <w:pPr>
        <w:rPr>
          <w:rFonts w:cs="Arial"/>
          <w:sz w:val="22"/>
          <w:lang w:val="ro-RO"/>
        </w:rPr>
      </w:pPr>
      <w:r>
        <w:rPr>
          <w:rFonts w:cs="Arial"/>
          <w:sz w:val="22"/>
          <w:lang w:val="ro-RO"/>
        </w:rPr>
        <w:t>Acest principiu a stat la baza stabilirii direcțiilor de dezvoltare ale Comunei Șimian incluse în Strategie, având ca scop transformarea comunității într-o societate durabilă. O astfel de societate este puternică, sănătoasă și echitabilă, răspunzând nevoilor tuturor locuitorilor, actuali și viitori, promovând bunăstarea, coeziunea și incluziunea socială, precum și șanse egale pentru toți.</w:t>
      </w:r>
    </w:p>
    <w:p w14:paraId="0AA4B1D9">
      <w:pPr>
        <w:rPr>
          <w:rFonts w:cs="Arial"/>
          <w:sz w:val="22"/>
          <w:lang w:val="ro-RO"/>
        </w:rPr>
      </w:pPr>
      <w:r>
        <w:rPr>
          <w:rFonts w:cs="Arial"/>
          <w:sz w:val="22"/>
          <w:lang w:val="ro-RO"/>
        </w:rPr>
        <w:t>Pentru atingerea acestor obiective, au fost propuse atât măsuri pentru dezvoltarea infrastructurii (inclusiv cea socială, educațională și medicală), cât și acțiuni pentru consolidarea unei economii locale solide și sustenabile, capabile să asigure prosperitate și oportunități pentru întreaga comunitate. Se încurajează, totodată, consumul eficient de resurse și asumarea responsabilității pentru costurile sociale și de mediu de către cei care le generează.</w:t>
      </w:r>
    </w:p>
    <w:p w14:paraId="48D78213">
      <w:pPr>
        <w:pStyle w:val="3"/>
        <w:numPr>
          <w:ilvl w:val="1"/>
          <w:numId w:val="39"/>
        </w:numPr>
        <w:rPr>
          <w:rFonts w:cs="Arial"/>
          <w:sz w:val="22"/>
          <w:szCs w:val="22"/>
          <w:lang w:val="ro-RO"/>
        </w:rPr>
      </w:pPr>
      <w:bookmarkStart w:id="85" w:name="_Toc201926345"/>
      <w:r>
        <w:rPr>
          <w:rFonts w:cs="Arial"/>
          <w:sz w:val="22"/>
          <w:szCs w:val="22"/>
          <w:lang w:val="ro-RO"/>
        </w:rPr>
        <w:t>Direcții strategice</w:t>
      </w:r>
      <w:bookmarkEnd w:id="85"/>
    </w:p>
    <w:p w14:paraId="0CF6D807">
      <w:pPr>
        <w:pStyle w:val="4"/>
        <w:numPr>
          <w:ilvl w:val="2"/>
          <w:numId w:val="39"/>
        </w:numPr>
        <w:rPr>
          <w:rFonts w:cs="Arial"/>
          <w:sz w:val="22"/>
          <w:szCs w:val="22"/>
          <w:lang w:val="ro-RO"/>
        </w:rPr>
      </w:pPr>
      <w:bookmarkStart w:id="86" w:name="_Toc201926346"/>
      <w:r>
        <w:rPr>
          <w:rFonts w:cs="Arial"/>
          <w:sz w:val="22"/>
          <w:szCs w:val="22"/>
          <w:lang w:val="ro-RO"/>
        </w:rPr>
        <w:t>DIRECȚIA STRATEGICĂ 1 - Modernizarea și extinderea infrastructurii de bază</w:t>
      </w:r>
      <w:bookmarkEnd w:id="86"/>
    </w:p>
    <w:p w14:paraId="0F075025">
      <w:pPr>
        <w:tabs>
          <w:tab w:val="left" w:pos="1848"/>
        </w:tabs>
        <w:rPr>
          <w:rFonts w:cs="Arial"/>
          <w:sz w:val="22"/>
          <w:lang w:val="ro-RO"/>
        </w:rPr>
      </w:pPr>
      <w:r>
        <w:rPr>
          <w:rFonts w:cs="Arial"/>
          <w:b/>
          <w:bCs/>
          <w:color w:val="2E75B6" w:themeColor="accent5" w:themeShade="BF"/>
          <w:sz w:val="22"/>
          <w:lang w:val="ro-RO"/>
        </w:rPr>
        <w:t xml:space="preserve">Obiectivul strategic nr. 1:  </w:t>
      </w:r>
      <w:r>
        <w:rPr>
          <w:rFonts w:cs="Arial"/>
          <w:sz w:val="22"/>
          <w:lang w:val="ro-RO"/>
        </w:rPr>
        <w:t>Dezvoltarea și reabilitarea rețelelor de apă, canalizare, drumuri și iluminat public, precum și extinderea accesului la infrastructură digitală pentru toate satele componente.</w:t>
      </w:r>
    </w:p>
    <w:p w14:paraId="269A4C85">
      <w:pPr>
        <w:tabs>
          <w:tab w:val="left" w:pos="1848"/>
        </w:tabs>
        <w:rPr>
          <w:rFonts w:cs="Arial"/>
          <w:sz w:val="22"/>
          <w:lang w:val="ro-RO"/>
        </w:rPr>
      </w:pPr>
      <w:r>
        <w:rPr>
          <w:rFonts w:cs="Arial"/>
          <w:color w:val="2E75B6" w:themeColor="accent5" w:themeShade="BF"/>
          <w:sz w:val="22"/>
          <w:lang w:val="ro-RO"/>
        </w:rPr>
        <w:t xml:space="preserve"> </w:t>
      </w:r>
      <w:r>
        <w:rPr>
          <w:rFonts w:cs="Arial"/>
          <w:sz w:val="22"/>
          <w:lang w:val="ro-RO"/>
        </w:rPr>
        <w:t>Măsura 1.1. Reabilitarea și modernizarea infrastructurii rutiere și de transport</w:t>
      </w:r>
    </w:p>
    <w:p w14:paraId="0876632F">
      <w:pPr>
        <w:tabs>
          <w:tab w:val="left" w:pos="1848"/>
        </w:tabs>
        <w:rPr>
          <w:rFonts w:cs="Arial"/>
          <w:sz w:val="22"/>
          <w:lang w:val="ro-RO"/>
        </w:rPr>
      </w:pPr>
      <w:r>
        <w:rPr>
          <w:rFonts w:cs="Arial"/>
          <w:sz w:val="22"/>
          <w:lang w:val="ro-RO"/>
        </w:rPr>
        <w:t xml:space="preserve"> Măsura 1.2. Extinderea și modernizarea rețelelor de utilități</w:t>
      </w:r>
    </w:p>
    <w:p w14:paraId="4AFF57B3">
      <w:pPr>
        <w:tabs>
          <w:tab w:val="left" w:pos="1848"/>
        </w:tabs>
        <w:rPr>
          <w:rFonts w:cs="Arial"/>
          <w:sz w:val="22"/>
          <w:lang w:val="ro-RO"/>
        </w:rPr>
      </w:pPr>
      <w:r>
        <w:rPr>
          <w:rFonts w:cs="Arial"/>
          <w:sz w:val="22"/>
          <w:lang w:val="ro-RO"/>
        </w:rPr>
        <w:t xml:space="preserve"> Măsura 1.3. Dezvoltarea infrastructurii digitale și de comunicații</w:t>
      </w:r>
    </w:p>
    <w:p w14:paraId="40D45DBF">
      <w:pPr>
        <w:pStyle w:val="4"/>
        <w:numPr>
          <w:ilvl w:val="2"/>
          <w:numId w:val="39"/>
        </w:numPr>
        <w:rPr>
          <w:rFonts w:cs="Arial"/>
          <w:sz w:val="22"/>
          <w:szCs w:val="22"/>
          <w:lang w:val="ro-RO"/>
        </w:rPr>
      </w:pPr>
      <w:bookmarkStart w:id="87" w:name="_Toc201926347"/>
      <w:r>
        <w:rPr>
          <w:rFonts w:cs="Arial"/>
          <w:sz w:val="22"/>
          <w:szCs w:val="22"/>
          <w:lang w:val="ro-RO"/>
        </w:rPr>
        <w:t>DIRECȚIA STRATEGICĂ 2 - Dezvoltarea economică locală și diversificarea surselor de venit</w:t>
      </w:r>
      <w:bookmarkEnd w:id="87"/>
    </w:p>
    <w:p w14:paraId="2E1D3B8F">
      <w:pPr>
        <w:tabs>
          <w:tab w:val="left" w:pos="1848"/>
        </w:tabs>
        <w:rPr>
          <w:rFonts w:cs="Arial"/>
          <w:sz w:val="22"/>
          <w:lang w:val="ro-RO"/>
        </w:rPr>
      </w:pPr>
      <w:r>
        <w:rPr>
          <w:rFonts w:cs="Arial"/>
          <w:b/>
          <w:bCs/>
          <w:color w:val="2E75B6" w:themeColor="accent5" w:themeShade="BF"/>
          <w:sz w:val="22"/>
          <w:lang w:val="ro-RO"/>
        </w:rPr>
        <w:t xml:space="preserve">Obiectivul strategic nr. 2 - </w:t>
      </w:r>
      <w:r>
        <w:rPr>
          <w:rFonts w:cs="Arial"/>
          <w:sz w:val="22"/>
          <w:lang w:val="ro-RO"/>
        </w:rPr>
        <w:t xml:space="preserve">Sprijinirea antreprenoriatului, a inițiativelor private și a cooperativelor agricole, promovarea turismului sustenabil și valorificarea resurselor naturale și culturale pentru crearea de noi locuri de muncă </w:t>
      </w:r>
    </w:p>
    <w:p w14:paraId="3282A841">
      <w:pPr>
        <w:tabs>
          <w:tab w:val="left" w:pos="1848"/>
        </w:tabs>
        <w:rPr>
          <w:rFonts w:cs="Arial"/>
          <w:sz w:val="22"/>
          <w:lang w:val="ro-RO"/>
        </w:rPr>
      </w:pPr>
      <w:r>
        <w:rPr>
          <w:rFonts w:cs="Arial"/>
          <w:sz w:val="22"/>
          <w:lang w:val="ro-RO"/>
        </w:rPr>
        <w:t>Măsura 2.1. Sprijinirea sectorului agroalimentar și a procesării locale</w:t>
      </w:r>
    </w:p>
    <w:p w14:paraId="23851F79">
      <w:pPr>
        <w:tabs>
          <w:tab w:val="left" w:pos="1848"/>
        </w:tabs>
        <w:rPr>
          <w:rFonts w:cs="Arial"/>
          <w:sz w:val="22"/>
          <w:lang w:val="ro-RO"/>
        </w:rPr>
      </w:pPr>
      <w:r>
        <w:rPr>
          <w:rFonts w:cs="Arial"/>
          <w:sz w:val="22"/>
          <w:lang w:val="ro-RO"/>
        </w:rPr>
        <w:t>Măsura 2.2. Susținerea antreprenoriatului și a IMM-urilor</w:t>
      </w:r>
    </w:p>
    <w:p w14:paraId="67A3BBC5">
      <w:pPr>
        <w:tabs>
          <w:tab w:val="left" w:pos="1848"/>
        </w:tabs>
        <w:rPr>
          <w:rFonts w:cs="Arial"/>
          <w:sz w:val="22"/>
          <w:lang w:val="ro-RO"/>
        </w:rPr>
      </w:pPr>
      <w:r>
        <w:rPr>
          <w:rFonts w:cs="Arial"/>
          <w:sz w:val="22"/>
          <w:lang w:val="ro-RO"/>
        </w:rPr>
        <w:t xml:space="preserve">Măsura 2.3. Dezvoltarea turismului și valorificarea resurselor localee </w:t>
      </w:r>
    </w:p>
    <w:p w14:paraId="084E04D7">
      <w:pPr>
        <w:pStyle w:val="4"/>
        <w:numPr>
          <w:ilvl w:val="2"/>
          <w:numId w:val="39"/>
        </w:numPr>
        <w:rPr>
          <w:rFonts w:cs="Arial"/>
          <w:sz w:val="22"/>
          <w:szCs w:val="22"/>
          <w:lang w:val="ro-RO"/>
        </w:rPr>
      </w:pPr>
      <w:bookmarkStart w:id="88" w:name="_Toc201926348"/>
      <w:r>
        <w:rPr>
          <w:rFonts w:cs="Arial"/>
          <w:sz w:val="22"/>
          <w:szCs w:val="22"/>
          <w:lang w:val="ro-RO"/>
        </w:rPr>
        <w:t>DIRECȚIA STRATEGICĂ 3 - Protecția mediului și tranziția către o economie verde</w:t>
      </w:r>
      <w:bookmarkEnd w:id="88"/>
    </w:p>
    <w:p w14:paraId="341C50D2">
      <w:pPr>
        <w:tabs>
          <w:tab w:val="left" w:pos="1848"/>
        </w:tabs>
        <w:rPr>
          <w:rFonts w:cs="Arial"/>
          <w:sz w:val="22"/>
          <w:lang w:val="ro-RO"/>
        </w:rPr>
      </w:pPr>
      <w:r>
        <w:rPr>
          <w:rFonts w:cs="Arial"/>
          <w:b/>
          <w:bCs/>
          <w:color w:val="2E75B6" w:themeColor="accent5" w:themeShade="BF"/>
          <w:sz w:val="22"/>
          <w:lang w:val="ro-RO"/>
        </w:rPr>
        <w:t xml:space="preserve">Obiectivul strategic nr. 3 – </w:t>
      </w:r>
      <w:r>
        <w:rPr>
          <w:rFonts w:cs="Arial"/>
          <w:sz w:val="22"/>
          <w:lang w:val="ro-RO"/>
        </w:rPr>
        <w:t xml:space="preserve">Implementarea de proiecte pentru gestionarea eficientă a deșeurilor, protejarea biodiversității, utilizarea energiilor regenerabile și adaptarea la schimbările climatice </w:t>
      </w:r>
    </w:p>
    <w:p w14:paraId="3D556247">
      <w:pPr>
        <w:tabs>
          <w:tab w:val="left" w:pos="1848"/>
        </w:tabs>
        <w:rPr>
          <w:rFonts w:cs="Arial"/>
          <w:sz w:val="22"/>
          <w:lang w:val="ro-RO"/>
        </w:rPr>
      </w:pPr>
      <w:r>
        <w:rPr>
          <w:rFonts w:cs="Arial"/>
          <w:sz w:val="22"/>
          <w:lang w:val="ro-RO"/>
        </w:rPr>
        <w:t>Măsura 3.1. Gestionarea eficientă a deșeurilor și protecția resurselor naturale</w:t>
      </w:r>
    </w:p>
    <w:p w14:paraId="0FA81D68">
      <w:pPr>
        <w:tabs>
          <w:tab w:val="left" w:pos="1848"/>
        </w:tabs>
        <w:rPr>
          <w:rFonts w:cs="Arial"/>
          <w:sz w:val="22"/>
          <w:lang w:val="ro-RO"/>
        </w:rPr>
      </w:pPr>
      <w:r>
        <w:rPr>
          <w:rFonts w:cs="Arial"/>
          <w:sz w:val="22"/>
          <w:lang w:val="ro-RO"/>
        </w:rPr>
        <w:t>Măsura 3.2. Promovarea energiilor regenerabile și a eficienței energetice</w:t>
      </w:r>
    </w:p>
    <w:p w14:paraId="4632EDC7">
      <w:pPr>
        <w:tabs>
          <w:tab w:val="left" w:pos="1848"/>
        </w:tabs>
        <w:rPr>
          <w:rFonts w:cs="Arial"/>
          <w:sz w:val="22"/>
          <w:lang w:val="ro-RO"/>
        </w:rPr>
      </w:pPr>
      <w:r>
        <w:rPr>
          <w:rFonts w:cs="Arial"/>
          <w:sz w:val="22"/>
          <w:lang w:val="ro-RO"/>
        </w:rPr>
        <w:t xml:space="preserve">Măsura 3.3. Adaptarea la schimbările climatice și reducerea riscurilor de mediu </w:t>
      </w:r>
    </w:p>
    <w:p w14:paraId="2AD8C309">
      <w:pPr>
        <w:pStyle w:val="4"/>
        <w:numPr>
          <w:ilvl w:val="2"/>
          <w:numId w:val="39"/>
        </w:numPr>
        <w:rPr>
          <w:rFonts w:cs="Arial"/>
          <w:sz w:val="22"/>
          <w:szCs w:val="22"/>
          <w:lang w:val="ro-RO"/>
        </w:rPr>
      </w:pPr>
      <w:bookmarkStart w:id="89" w:name="_Toc201926349"/>
      <w:r>
        <w:rPr>
          <w:rFonts w:cs="Arial"/>
          <w:sz w:val="22"/>
          <w:szCs w:val="22"/>
          <w:lang w:val="ro-RO"/>
        </w:rPr>
        <w:t>DIRECȚIA STRATEGICĂ 4 - Creșterea calității vieții și incluziunii sociale</w:t>
      </w:r>
      <w:bookmarkEnd w:id="89"/>
    </w:p>
    <w:p w14:paraId="60719ABD">
      <w:pPr>
        <w:tabs>
          <w:tab w:val="left" w:pos="1848"/>
        </w:tabs>
        <w:rPr>
          <w:rFonts w:cs="Arial"/>
          <w:sz w:val="22"/>
          <w:lang w:val="ro-RO"/>
        </w:rPr>
      </w:pPr>
      <w:r>
        <w:rPr>
          <w:rFonts w:cs="Arial"/>
          <w:b/>
          <w:bCs/>
          <w:color w:val="2E75B6" w:themeColor="accent5" w:themeShade="BF"/>
          <w:sz w:val="22"/>
          <w:lang w:val="ro-RO"/>
        </w:rPr>
        <w:t xml:space="preserve">Obiectivul strategic nr. 4 - </w:t>
      </w:r>
      <w:r>
        <w:rPr>
          <w:rFonts w:cs="Arial"/>
          <w:sz w:val="22"/>
          <w:lang w:val="ro-RO"/>
        </w:rPr>
        <w:t>Îmbunătățirea accesului la servicii publice de calitate (educație, sănătate, cultură, sport), reducerea disparităților sociale și sprijinirea grupurilor vulnerabile</w:t>
      </w:r>
    </w:p>
    <w:p w14:paraId="1D93AC23">
      <w:pPr>
        <w:tabs>
          <w:tab w:val="left" w:pos="1848"/>
        </w:tabs>
        <w:rPr>
          <w:rFonts w:cs="Arial"/>
          <w:b/>
          <w:bCs/>
          <w:color w:val="2E75B6" w:themeColor="accent5" w:themeShade="BF"/>
          <w:sz w:val="22"/>
          <w:lang w:val="ro-RO"/>
        </w:rPr>
      </w:pPr>
      <w:r>
        <w:rPr>
          <w:rFonts w:cs="Arial"/>
          <w:sz w:val="22"/>
          <w:lang w:val="ro-RO"/>
        </w:rPr>
        <w:t>Măsura 4.1. Modernizarea și diversificarea serviciilor publice</w:t>
      </w:r>
    </w:p>
    <w:p w14:paraId="3D18DF96">
      <w:pPr>
        <w:tabs>
          <w:tab w:val="left" w:pos="1848"/>
        </w:tabs>
        <w:rPr>
          <w:rFonts w:cs="Arial"/>
          <w:b/>
          <w:bCs/>
          <w:color w:val="2E75B6" w:themeColor="accent5" w:themeShade="BF"/>
          <w:sz w:val="22"/>
          <w:lang w:val="ro-RO"/>
        </w:rPr>
      </w:pPr>
      <w:r>
        <w:rPr>
          <w:rFonts w:cs="Arial"/>
          <w:sz w:val="22"/>
          <w:lang w:val="ro-RO"/>
        </w:rPr>
        <w:t>Măsura 4.2. Acces la servicii sociale și medicale moderne</w:t>
      </w:r>
    </w:p>
    <w:p w14:paraId="53CBAE8D">
      <w:pPr>
        <w:tabs>
          <w:tab w:val="left" w:pos="1848"/>
        </w:tabs>
        <w:rPr>
          <w:rFonts w:cs="Arial"/>
          <w:sz w:val="22"/>
          <w:lang w:val="ro-RO"/>
        </w:rPr>
      </w:pPr>
      <w:r>
        <w:rPr>
          <w:rFonts w:cs="Arial"/>
          <w:sz w:val="22"/>
          <w:lang w:val="ro-RO"/>
        </w:rPr>
        <w:t>Măsura 4.3. Promovarea participării comunitare și a coeziunii sociale</w:t>
      </w:r>
    </w:p>
    <w:p w14:paraId="47F42F90">
      <w:pPr>
        <w:pStyle w:val="4"/>
        <w:numPr>
          <w:ilvl w:val="2"/>
          <w:numId w:val="39"/>
        </w:numPr>
        <w:rPr>
          <w:rFonts w:cs="Arial"/>
          <w:sz w:val="22"/>
          <w:szCs w:val="22"/>
          <w:lang w:val="ro-RO"/>
        </w:rPr>
      </w:pPr>
      <w:bookmarkStart w:id="90" w:name="_Toc201926350"/>
      <w:r>
        <w:rPr>
          <w:rFonts w:cs="Arial"/>
          <w:sz w:val="22"/>
          <w:szCs w:val="22"/>
          <w:lang w:val="ro-RO"/>
        </w:rPr>
        <w:t>DIRECȚIA STRATEGICĂ 5 - Guvernanță locală participativă și digitalizare</w:t>
      </w:r>
      <w:bookmarkEnd w:id="90"/>
      <w:r>
        <w:rPr>
          <w:rFonts w:cs="Arial"/>
          <w:sz w:val="22"/>
          <w:szCs w:val="22"/>
          <w:lang w:val="ro-RO"/>
        </w:rPr>
        <w:t xml:space="preserve"> </w:t>
      </w:r>
    </w:p>
    <w:p w14:paraId="7DD18711">
      <w:pPr>
        <w:tabs>
          <w:tab w:val="left" w:pos="1848"/>
        </w:tabs>
        <w:rPr>
          <w:rFonts w:cs="Arial"/>
          <w:sz w:val="22"/>
          <w:lang w:val="ro-RO"/>
        </w:rPr>
      </w:pPr>
      <w:r>
        <w:rPr>
          <w:rFonts w:cs="Arial"/>
          <w:b/>
          <w:bCs/>
          <w:color w:val="2E75B6" w:themeColor="accent5" w:themeShade="BF"/>
          <w:sz w:val="22"/>
          <w:lang w:val="ro-RO"/>
        </w:rPr>
        <w:t xml:space="preserve">Obiectivul strategic nr. 5 - </w:t>
      </w:r>
      <w:r>
        <w:rPr>
          <w:rFonts w:cs="Arial"/>
          <w:sz w:val="22"/>
          <w:lang w:val="ro-RO"/>
        </w:rPr>
        <w:t xml:space="preserve">Consolidarea transparenței, a implicării cetățenilor în procesul decizional, digitalizarea serviciilor publice și dezvoltarea parteneriatelor cu mediul privat, societatea civilă și instituțiile regionale </w:t>
      </w:r>
    </w:p>
    <w:p w14:paraId="6A379C9F">
      <w:pPr>
        <w:tabs>
          <w:tab w:val="left" w:pos="1848"/>
        </w:tabs>
        <w:rPr>
          <w:rFonts w:cs="Arial"/>
          <w:sz w:val="22"/>
          <w:lang w:val="ro-RO"/>
        </w:rPr>
      </w:pPr>
      <w:r>
        <w:rPr>
          <w:rFonts w:cs="Arial"/>
          <w:sz w:val="22"/>
          <w:lang w:val="ro-RO"/>
        </w:rPr>
        <w:t>Măsura 5.1. Digitalizarea administrației publice și a serviciilor</w:t>
      </w:r>
    </w:p>
    <w:p w14:paraId="72806CEE">
      <w:pPr>
        <w:tabs>
          <w:tab w:val="left" w:pos="1848"/>
        </w:tabs>
        <w:rPr>
          <w:rFonts w:cs="Arial"/>
          <w:sz w:val="22"/>
          <w:lang w:val="ro-RO"/>
        </w:rPr>
      </w:pPr>
      <w:r>
        <w:rPr>
          <w:rFonts w:cs="Arial"/>
          <w:sz w:val="22"/>
          <w:lang w:val="ro-RO"/>
        </w:rPr>
        <w:t>Măsura 5.2. Transparență și implicare cetățenească</w:t>
      </w:r>
    </w:p>
    <w:p w14:paraId="43DFD940">
      <w:pPr>
        <w:tabs>
          <w:tab w:val="left" w:pos="1848"/>
        </w:tabs>
        <w:rPr>
          <w:rFonts w:cs="Arial"/>
          <w:sz w:val="22"/>
          <w:lang w:val="ro-RO"/>
        </w:rPr>
      </w:pPr>
      <w:r>
        <w:rPr>
          <w:rFonts w:cs="Arial"/>
          <w:sz w:val="22"/>
          <w:lang w:val="ro-RO"/>
        </w:rPr>
        <w:t>Măsura 5.3. Dezvoltarea parteneriatelor locale și regionale</w:t>
      </w:r>
    </w:p>
    <w:p w14:paraId="3D861FEC">
      <w:pPr>
        <w:rPr>
          <w:rFonts w:cs="Arial"/>
          <w:sz w:val="22"/>
          <w:lang w:val="ro-RO"/>
        </w:rPr>
      </w:pPr>
    </w:p>
    <w:p w14:paraId="4AD90F21">
      <w:pPr>
        <w:rPr>
          <w:rFonts w:cs="Arial"/>
          <w:sz w:val="22"/>
          <w:lang w:val="ro-RO"/>
        </w:rPr>
      </w:pPr>
    </w:p>
    <w:p w14:paraId="19D5ADE7">
      <w:pPr>
        <w:tabs>
          <w:tab w:val="left" w:pos="1848"/>
        </w:tabs>
        <w:ind w:firstLine="0"/>
        <w:rPr>
          <w:rFonts w:cs="Arial"/>
          <w:sz w:val="22"/>
          <w:lang w:val="ro-RO"/>
        </w:rPr>
      </w:pPr>
    </w:p>
    <w:p w14:paraId="40ADF86B">
      <w:pPr>
        <w:tabs>
          <w:tab w:val="left" w:pos="1848"/>
        </w:tabs>
        <w:rPr>
          <w:rFonts w:cs="Arial"/>
          <w:sz w:val="22"/>
          <w:lang w:val="ro-RO"/>
        </w:rPr>
      </w:pPr>
    </w:p>
    <w:p w14:paraId="00140462">
      <w:pPr>
        <w:tabs>
          <w:tab w:val="left" w:pos="1848"/>
        </w:tabs>
        <w:rPr>
          <w:rFonts w:cs="Arial"/>
          <w:sz w:val="22"/>
          <w:lang w:val="ro-RO"/>
        </w:rPr>
      </w:pPr>
    </w:p>
    <w:p w14:paraId="01C5E4E1">
      <w:pPr>
        <w:tabs>
          <w:tab w:val="left" w:pos="1848"/>
        </w:tabs>
        <w:rPr>
          <w:rFonts w:cs="Arial"/>
          <w:sz w:val="22"/>
          <w:lang w:val="ro-RO"/>
        </w:rPr>
      </w:pPr>
    </w:p>
    <w:p w14:paraId="26CCEBDE">
      <w:pPr>
        <w:tabs>
          <w:tab w:val="left" w:pos="1848"/>
        </w:tabs>
        <w:rPr>
          <w:rFonts w:cs="Arial"/>
          <w:sz w:val="22"/>
          <w:lang w:val="ro-RO"/>
        </w:rPr>
      </w:pPr>
    </w:p>
    <w:p w14:paraId="0A8B2335">
      <w:pPr>
        <w:tabs>
          <w:tab w:val="left" w:pos="1848"/>
        </w:tabs>
        <w:rPr>
          <w:rFonts w:cs="Arial"/>
          <w:sz w:val="22"/>
          <w:lang w:val="ro-RO"/>
        </w:rPr>
      </w:pPr>
    </w:p>
    <w:p w14:paraId="2BB0B170">
      <w:pPr>
        <w:tabs>
          <w:tab w:val="left" w:pos="1848"/>
        </w:tabs>
        <w:ind w:firstLine="0"/>
        <w:rPr>
          <w:rFonts w:cs="Arial"/>
          <w:sz w:val="22"/>
          <w:lang w:val="ro-RO"/>
        </w:rPr>
        <w:sectPr>
          <w:pgSz w:w="11907" w:h="16839"/>
          <w:pgMar w:top="1701" w:right="1134" w:bottom="1701" w:left="1134" w:header="706" w:footer="283" w:gutter="0"/>
          <w:cols w:space="708" w:num="1"/>
          <w:docGrid w:linePitch="360" w:charSpace="0"/>
        </w:sectPr>
      </w:pPr>
    </w:p>
    <w:p w14:paraId="5549CFC1">
      <w:pPr>
        <w:ind w:firstLine="0"/>
        <w:rPr>
          <w:rFonts w:cs="Arial"/>
          <w:sz w:val="22"/>
          <w:lang w:val="ro-RO"/>
        </w:rPr>
      </w:pPr>
    </w:p>
    <w:p w14:paraId="0B60329A">
      <w:pPr>
        <w:pStyle w:val="3"/>
        <w:numPr>
          <w:ilvl w:val="1"/>
          <w:numId w:val="39"/>
        </w:numPr>
        <w:rPr>
          <w:rFonts w:cs="Arial"/>
          <w:sz w:val="22"/>
          <w:szCs w:val="22"/>
          <w:lang w:val="ro-RO"/>
        </w:rPr>
      </w:pPr>
      <w:bookmarkStart w:id="91" w:name="_Toc201926351"/>
      <w:r>
        <w:rPr>
          <w:rFonts w:cs="Arial"/>
          <w:sz w:val="22"/>
          <w:szCs w:val="22"/>
          <w:lang w:val="ro-RO"/>
        </w:rPr>
        <w:t>PORTOFOLIUL DE PROIECTE</w:t>
      </w:r>
      <w:bookmarkEnd w:id="91"/>
      <w:r>
        <w:rPr>
          <w:rFonts w:cs="Arial"/>
          <w:bCs/>
          <w:sz w:val="22"/>
          <w:szCs w:val="22"/>
        </w:rPr>
        <w:t xml:space="preserve">                                                   </w:t>
      </w:r>
    </w:p>
    <w:p w14:paraId="4955F37E">
      <w:pPr>
        <w:rPr>
          <w:rFonts w:cs="Arial"/>
          <w:b/>
          <w:bCs/>
          <w:sz w:val="22"/>
        </w:rPr>
      </w:pPr>
    </w:p>
    <w:p w14:paraId="0481FE2A">
      <w:pPr>
        <w:jc w:val="center"/>
        <w:rPr>
          <w:rFonts w:cs="Arial"/>
          <w:b/>
          <w:bCs/>
          <w:sz w:val="22"/>
        </w:rPr>
      </w:pPr>
      <w:r>
        <w:rPr>
          <w:rFonts w:cs="Arial"/>
          <w:b/>
          <w:bCs/>
          <w:sz w:val="22"/>
        </w:rPr>
        <w:t>COMUNA ȘIMIAN – PORTOFOLIUL DE PROIECTE</w:t>
      </w:r>
    </w:p>
    <w:p w14:paraId="5DB84F4C">
      <w:pPr>
        <w:jc w:val="center"/>
        <w:rPr>
          <w:rFonts w:cs="Arial"/>
          <w:b/>
          <w:bCs/>
          <w:sz w:val="22"/>
        </w:rPr>
      </w:pPr>
    </w:p>
    <w:p w14:paraId="28C07263">
      <w:pPr>
        <w:jc w:val="center"/>
        <w:rPr>
          <w:rFonts w:cs="Arial"/>
          <w:b/>
          <w:bCs/>
          <w:sz w:val="22"/>
        </w:rPr>
      </w:pPr>
    </w:p>
    <w:tbl>
      <w:tblPr>
        <w:tblStyle w:val="12"/>
        <w:tblW w:w="11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30"/>
        <w:gridCol w:w="2790"/>
        <w:gridCol w:w="1350"/>
        <w:gridCol w:w="1170"/>
        <w:gridCol w:w="1026"/>
        <w:gridCol w:w="684"/>
        <w:gridCol w:w="734"/>
      </w:tblGrid>
      <w:tr w14:paraId="7EE3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35" w:type="dxa"/>
          </w:tcPr>
          <w:p w14:paraId="107D2BB5">
            <w:pPr>
              <w:tabs>
                <w:tab w:val="left" w:pos="1848"/>
              </w:tabs>
              <w:spacing w:line="276" w:lineRule="auto"/>
              <w:rPr>
                <w:rFonts w:cs="Arial"/>
                <w:b/>
                <w:bCs/>
                <w:color w:val="2E75B6" w:themeColor="accent5" w:themeShade="BF"/>
                <w:sz w:val="22"/>
              </w:rPr>
            </w:pPr>
            <w:r>
              <w:rPr>
                <w:rFonts w:cs="Arial"/>
                <w:b/>
                <w:bCs/>
                <w:color w:val="2E75B6" w:themeColor="accent5" w:themeShade="BF"/>
                <w:sz w:val="22"/>
              </w:rPr>
              <w:t>NNr.crt</w:t>
            </w:r>
          </w:p>
        </w:tc>
        <w:tc>
          <w:tcPr>
            <w:tcW w:w="3330" w:type="dxa"/>
          </w:tcPr>
          <w:p w14:paraId="2D026E8F">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Denumire investiți</w:t>
            </w:r>
          </w:p>
        </w:tc>
        <w:tc>
          <w:tcPr>
            <w:tcW w:w="2790" w:type="dxa"/>
          </w:tcPr>
          <w:p w14:paraId="51583971">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 xml:space="preserve">Obiective și activități propuse </w:t>
            </w:r>
          </w:p>
        </w:tc>
        <w:tc>
          <w:tcPr>
            <w:tcW w:w="1350" w:type="dxa"/>
          </w:tcPr>
          <w:p w14:paraId="40A0878E">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Sursa de finanțare</w:t>
            </w:r>
          </w:p>
        </w:tc>
        <w:tc>
          <w:tcPr>
            <w:tcW w:w="1170" w:type="dxa"/>
          </w:tcPr>
          <w:p w14:paraId="697D34D1">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Stadiu</w:t>
            </w:r>
          </w:p>
        </w:tc>
        <w:tc>
          <w:tcPr>
            <w:tcW w:w="1026" w:type="dxa"/>
          </w:tcPr>
          <w:p w14:paraId="036014CA">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Termen de implementare</w:t>
            </w:r>
          </w:p>
        </w:tc>
        <w:tc>
          <w:tcPr>
            <w:tcW w:w="684" w:type="dxa"/>
          </w:tcPr>
          <w:p w14:paraId="180A3B37">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Prioritar</w:t>
            </w:r>
          </w:p>
        </w:tc>
        <w:tc>
          <w:tcPr>
            <w:tcW w:w="734" w:type="dxa"/>
          </w:tcPr>
          <w:p w14:paraId="5B8E5870">
            <w:pPr>
              <w:tabs>
                <w:tab w:val="left" w:pos="1848"/>
              </w:tabs>
              <w:spacing w:line="276" w:lineRule="auto"/>
              <w:ind w:firstLine="0"/>
              <w:rPr>
                <w:rFonts w:cs="Arial"/>
                <w:b/>
                <w:bCs/>
                <w:color w:val="2E75B6" w:themeColor="accent5" w:themeShade="BF"/>
                <w:sz w:val="22"/>
              </w:rPr>
            </w:pPr>
            <w:r>
              <w:rPr>
                <w:rFonts w:cs="Arial"/>
                <w:b/>
                <w:bCs/>
                <w:color w:val="2E75B6" w:themeColor="accent5" w:themeShade="BF"/>
                <w:sz w:val="22"/>
              </w:rPr>
              <w:t>Listă lungă de proiecte</w:t>
            </w:r>
          </w:p>
        </w:tc>
      </w:tr>
      <w:tr w14:paraId="76DA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619" w:type="dxa"/>
            <w:gridSpan w:val="8"/>
          </w:tcPr>
          <w:p w14:paraId="178C0708">
            <w:pPr>
              <w:pStyle w:val="4"/>
              <w:ind w:firstLine="0"/>
              <w:rPr>
                <w:rFonts w:cs="Arial"/>
                <w:sz w:val="22"/>
                <w:szCs w:val="22"/>
                <w:lang w:val="ro-RO"/>
              </w:rPr>
            </w:pPr>
            <w:bookmarkStart w:id="92" w:name="_Toc201926352"/>
            <w:r>
              <w:rPr>
                <w:rFonts w:cs="Arial"/>
                <w:sz w:val="22"/>
                <w:szCs w:val="22"/>
                <w:lang w:val="ro-RO"/>
              </w:rPr>
              <w:t>DIRECȚIA STRATEGICĂ 1 - Modernizarea și extinderea infrastructurii de bază</w:t>
            </w:r>
            <w:bookmarkEnd w:id="92"/>
          </w:p>
          <w:p w14:paraId="71F675A6">
            <w:pPr>
              <w:tabs>
                <w:tab w:val="left" w:pos="1848"/>
              </w:tabs>
              <w:ind w:firstLine="0"/>
              <w:rPr>
                <w:rFonts w:cs="Arial"/>
                <w:sz w:val="22"/>
                <w:lang w:val="ro-RO"/>
              </w:rPr>
            </w:pPr>
            <w:r>
              <w:rPr>
                <w:rFonts w:cs="Arial"/>
                <w:b/>
                <w:bCs/>
                <w:color w:val="2E75B6" w:themeColor="accent5" w:themeShade="BF"/>
                <w:sz w:val="22"/>
                <w:lang w:val="ro-RO"/>
              </w:rPr>
              <w:t xml:space="preserve">Obiectivul strategic nr. 1:  </w:t>
            </w:r>
            <w:r>
              <w:rPr>
                <w:rFonts w:cs="Arial"/>
                <w:sz w:val="22"/>
                <w:lang w:val="ro-RO"/>
              </w:rPr>
              <w:t>Dezvoltarea și reabilitarea rețelelor de apă, canalizare, drumuri și iluminat public, precum și extinderea accesului la infrastructură digitală pentru toate satele componente.</w:t>
            </w:r>
          </w:p>
          <w:p w14:paraId="7EB1676F">
            <w:pPr>
              <w:tabs>
                <w:tab w:val="left" w:pos="1848"/>
              </w:tabs>
              <w:spacing w:line="276" w:lineRule="auto"/>
              <w:jc w:val="center"/>
              <w:rPr>
                <w:rFonts w:cs="Arial"/>
                <w:b/>
                <w:bCs/>
                <w:color w:val="2E75B6" w:themeColor="accent5" w:themeShade="BF"/>
                <w:sz w:val="22"/>
              </w:rPr>
            </w:pPr>
          </w:p>
        </w:tc>
      </w:tr>
      <w:tr w14:paraId="00D6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24461CD0">
            <w:pPr>
              <w:spacing w:line="276" w:lineRule="auto"/>
              <w:rPr>
                <w:rFonts w:cs="Arial"/>
                <w:sz w:val="22"/>
              </w:rPr>
            </w:pPr>
            <w:r>
              <w:rPr>
                <w:rFonts w:cs="Arial"/>
                <w:sz w:val="22"/>
              </w:rPr>
              <w:t>21</w:t>
            </w:r>
          </w:p>
        </w:tc>
        <w:tc>
          <w:tcPr>
            <w:tcW w:w="3330" w:type="dxa"/>
            <w:tcBorders>
              <w:top w:val="single" w:color="auto" w:sz="4" w:space="0"/>
              <w:left w:val="single" w:color="auto" w:sz="4" w:space="0"/>
              <w:bottom w:val="single" w:color="auto" w:sz="4" w:space="0"/>
              <w:right w:val="single" w:color="auto" w:sz="4" w:space="0"/>
            </w:tcBorders>
          </w:tcPr>
          <w:p w14:paraId="30CC1647">
            <w:pPr>
              <w:spacing w:line="276" w:lineRule="auto"/>
              <w:ind w:firstLine="0"/>
              <w:jc w:val="left"/>
              <w:rPr>
                <w:rFonts w:cs="Arial"/>
                <w:sz w:val="22"/>
              </w:rPr>
            </w:pPr>
            <w:r>
              <w:rPr>
                <w:rFonts w:cs="Arial"/>
                <w:sz w:val="22"/>
              </w:rPr>
              <w:t>Asigurarea infrastructurii pentru transportul verde -its/alte infrastructuri TIC (sisteme inteligente de managementul urban/local)</w:t>
            </w:r>
          </w:p>
        </w:tc>
        <w:tc>
          <w:tcPr>
            <w:tcW w:w="2790" w:type="dxa"/>
            <w:tcBorders>
              <w:top w:val="single" w:color="auto" w:sz="4" w:space="0"/>
              <w:left w:val="single" w:color="auto" w:sz="4" w:space="0"/>
              <w:bottom w:val="single" w:color="auto" w:sz="4" w:space="0"/>
              <w:right w:val="single" w:color="auto" w:sz="4" w:space="0"/>
            </w:tcBorders>
          </w:tcPr>
          <w:p w14:paraId="1F87ADD2">
            <w:pPr>
              <w:tabs>
                <w:tab w:val="left" w:pos="1848"/>
              </w:tabs>
              <w:spacing w:line="276" w:lineRule="auto"/>
              <w:ind w:firstLine="0"/>
              <w:jc w:val="left"/>
              <w:rPr>
                <w:rFonts w:cs="Arial"/>
                <w:sz w:val="22"/>
              </w:rPr>
            </w:pPr>
            <w:r>
              <w:rPr>
                <w:rFonts w:cs="Arial"/>
                <w:sz w:val="22"/>
              </w:rPr>
              <w:t xml:space="preserve">Reducerea emisiilor de carbon și a poluării </w:t>
            </w:r>
          </w:p>
          <w:p w14:paraId="3324097D">
            <w:pPr>
              <w:tabs>
                <w:tab w:val="left" w:pos="1848"/>
              </w:tabs>
              <w:spacing w:line="276" w:lineRule="auto"/>
              <w:ind w:firstLine="0"/>
              <w:jc w:val="left"/>
              <w:rPr>
                <w:rFonts w:cs="Arial"/>
                <w:sz w:val="22"/>
              </w:rPr>
            </w:pPr>
            <w:r>
              <w:rPr>
                <w:rFonts w:cs="Arial"/>
                <w:sz w:val="22"/>
              </w:rPr>
              <w:t>Promovarea mobilității urbane durabile prin dezvoltarea transportului verde</w:t>
            </w:r>
          </w:p>
          <w:p w14:paraId="088CBCBB">
            <w:pPr>
              <w:tabs>
                <w:tab w:val="left" w:pos="1848"/>
              </w:tabs>
              <w:spacing w:line="276" w:lineRule="auto"/>
              <w:ind w:firstLine="0"/>
              <w:rPr>
                <w:rFonts w:cs="Arial"/>
                <w:sz w:val="22"/>
              </w:rPr>
            </w:pPr>
            <w:r>
              <w:rPr>
                <w:rFonts w:cs="Arial"/>
                <w:sz w:val="22"/>
              </w:rPr>
              <w:t>Dezvoltarea unor alternative viabile și atractive la transportul auto clasic</w:t>
            </w:r>
          </w:p>
          <w:p w14:paraId="1A310DE1">
            <w:pPr>
              <w:spacing w:line="276" w:lineRule="auto"/>
              <w:ind w:firstLine="0"/>
              <w:jc w:val="left"/>
              <w:rPr>
                <w:rFonts w:cs="Arial"/>
                <w:sz w:val="22"/>
              </w:rPr>
            </w:pPr>
            <w:r>
              <w:rPr>
                <w:rFonts w:cs="Arial"/>
                <w:sz w:val="22"/>
              </w:rPr>
              <w:t>Alinierea la obiectivele europene și naționale privind decarbonizarea transportului.</w:t>
            </w:r>
          </w:p>
          <w:p w14:paraId="66EE3033">
            <w:pPr>
              <w:tabs>
                <w:tab w:val="left" w:pos="1848"/>
              </w:tabs>
              <w:spacing w:line="276" w:lineRule="auto"/>
              <w:ind w:firstLine="0"/>
              <w:jc w:val="left"/>
              <w:rPr>
                <w:rFonts w:cs="Arial"/>
                <w:sz w:val="22"/>
              </w:rPr>
            </w:pPr>
            <w:r>
              <w:rPr>
                <w:rFonts w:cs="Arial"/>
                <w:sz w:val="22"/>
              </w:rPr>
              <w:t>Dezvoltarea punctelor intermodale</w:t>
            </w:r>
          </w:p>
          <w:p w14:paraId="5ABC0EF5">
            <w:pPr>
              <w:tabs>
                <w:tab w:val="left" w:pos="1848"/>
              </w:tabs>
              <w:spacing w:line="276" w:lineRule="auto"/>
              <w:ind w:firstLine="0"/>
              <w:jc w:val="left"/>
              <w:rPr>
                <w:rFonts w:cs="Arial"/>
                <w:b/>
                <w:bCs/>
                <w:sz w:val="22"/>
              </w:rPr>
            </w:pPr>
            <w:r>
              <w:rPr>
                <w:rFonts w:cs="Arial"/>
                <w:b/>
                <w:bCs/>
                <w:sz w:val="22"/>
              </w:rPr>
              <w:t>Activități</w:t>
            </w:r>
          </w:p>
          <w:p w14:paraId="7B96C58F">
            <w:pPr>
              <w:tabs>
                <w:tab w:val="left" w:pos="1848"/>
              </w:tabs>
              <w:spacing w:line="276" w:lineRule="auto"/>
              <w:ind w:firstLine="0"/>
              <w:jc w:val="left"/>
              <w:rPr>
                <w:rFonts w:cs="Arial"/>
                <w:sz w:val="22"/>
              </w:rPr>
            </w:pPr>
            <w:r>
              <w:rPr>
                <w:rFonts w:cs="Arial"/>
                <w:sz w:val="22"/>
              </w:rPr>
              <w:t>Planificare și proiectare</w:t>
            </w:r>
          </w:p>
          <w:p w14:paraId="6226091D">
            <w:pPr>
              <w:tabs>
                <w:tab w:val="left" w:pos="1848"/>
              </w:tabs>
              <w:spacing w:line="276" w:lineRule="auto"/>
              <w:ind w:firstLine="0"/>
              <w:jc w:val="left"/>
              <w:rPr>
                <w:rFonts w:cs="Arial"/>
                <w:sz w:val="22"/>
              </w:rPr>
            </w:pPr>
            <w:r>
              <w:rPr>
                <w:rFonts w:cs="Arial"/>
                <w:sz w:val="22"/>
              </w:rPr>
              <w:t>Infrastructură pentru transport alternativ</w:t>
            </w:r>
          </w:p>
          <w:p w14:paraId="68389BA3">
            <w:pPr>
              <w:tabs>
                <w:tab w:val="left" w:pos="1848"/>
              </w:tabs>
              <w:spacing w:line="276" w:lineRule="auto"/>
              <w:ind w:firstLine="0"/>
              <w:jc w:val="left"/>
              <w:rPr>
                <w:rFonts w:cs="Arial"/>
                <w:sz w:val="22"/>
              </w:rPr>
            </w:pPr>
            <w:r>
              <w:rPr>
                <w:rFonts w:cs="Arial"/>
                <w:sz w:val="22"/>
              </w:rPr>
              <w:t>Stații de încărcare și rețele electrice</w:t>
            </w:r>
          </w:p>
          <w:p w14:paraId="1A96CB64">
            <w:pPr>
              <w:tabs>
                <w:tab w:val="left" w:pos="1848"/>
              </w:tabs>
              <w:spacing w:line="276" w:lineRule="auto"/>
              <w:ind w:firstLine="0"/>
              <w:jc w:val="left"/>
              <w:rPr>
                <w:rFonts w:cs="Arial"/>
                <w:b/>
                <w:bCs/>
                <w:sz w:val="22"/>
              </w:rPr>
            </w:pPr>
            <w:r>
              <w:rPr>
                <w:rFonts w:cs="Arial"/>
                <w:sz w:val="22"/>
              </w:rPr>
              <w:t>Transport public verde</w:t>
            </w:r>
          </w:p>
        </w:tc>
        <w:tc>
          <w:tcPr>
            <w:tcW w:w="1350" w:type="dxa"/>
            <w:tcBorders>
              <w:top w:val="single" w:color="auto" w:sz="4" w:space="0"/>
              <w:left w:val="single" w:color="auto" w:sz="4" w:space="0"/>
              <w:bottom w:val="single" w:color="auto" w:sz="4" w:space="0"/>
              <w:right w:val="single" w:color="auto" w:sz="4" w:space="0"/>
            </w:tcBorders>
          </w:tcPr>
          <w:p w14:paraId="260577F2">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Borders>
              <w:top w:val="single" w:color="auto" w:sz="4" w:space="0"/>
              <w:left w:val="single" w:color="auto" w:sz="4" w:space="0"/>
              <w:bottom w:val="single" w:color="auto" w:sz="4" w:space="0"/>
              <w:right w:val="single" w:color="auto" w:sz="4" w:space="0"/>
            </w:tcBorders>
          </w:tcPr>
          <w:p w14:paraId="1CF2329E">
            <w:pPr>
              <w:tabs>
                <w:tab w:val="left" w:pos="1848"/>
              </w:tabs>
              <w:spacing w:line="276" w:lineRule="auto"/>
              <w:ind w:firstLine="0"/>
              <w:rPr>
                <w:rFonts w:cs="Arial"/>
                <w:sz w:val="22"/>
              </w:rPr>
            </w:pPr>
            <w:r>
              <w:rPr>
                <w:rFonts w:cs="Arial"/>
                <w:sz w:val="22"/>
              </w:rPr>
              <w:t>În implementare-</w:t>
            </w:r>
          </w:p>
          <w:p w14:paraId="128C92AB">
            <w:pPr>
              <w:tabs>
                <w:tab w:val="left" w:pos="1848"/>
              </w:tabs>
              <w:spacing w:line="276" w:lineRule="auto"/>
              <w:ind w:firstLine="0"/>
              <w:rPr>
                <w:rFonts w:cs="Arial"/>
                <w:sz w:val="22"/>
              </w:rPr>
            </w:pPr>
            <w:r>
              <w:rPr>
                <w:rFonts w:cs="Arial"/>
                <w:sz w:val="22"/>
              </w:rPr>
              <w:t>Nr. Contract</w:t>
            </w:r>
          </w:p>
          <w:p w14:paraId="72271946">
            <w:pPr>
              <w:tabs>
                <w:tab w:val="left" w:pos="1848"/>
              </w:tabs>
              <w:spacing w:line="276" w:lineRule="auto"/>
              <w:ind w:firstLine="0"/>
              <w:rPr>
                <w:rFonts w:cs="Arial"/>
                <w:sz w:val="22"/>
              </w:rPr>
            </w:pPr>
            <w:r>
              <w:rPr>
                <w:rFonts w:cs="Arial"/>
                <w:sz w:val="22"/>
              </w:rPr>
              <w:t>145238/21.12.2022</w:t>
            </w:r>
          </w:p>
        </w:tc>
        <w:tc>
          <w:tcPr>
            <w:tcW w:w="1026" w:type="dxa"/>
            <w:tcBorders>
              <w:top w:val="single" w:color="auto" w:sz="4" w:space="0"/>
              <w:left w:val="single" w:color="auto" w:sz="4" w:space="0"/>
              <w:bottom w:val="single" w:color="auto" w:sz="4" w:space="0"/>
              <w:right w:val="single" w:color="auto" w:sz="4" w:space="0"/>
            </w:tcBorders>
          </w:tcPr>
          <w:p w14:paraId="13BF49E6">
            <w:pPr>
              <w:tabs>
                <w:tab w:val="left" w:pos="1848"/>
              </w:tabs>
              <w:spacing w:line="276" w:lineRule="auto"/>
              <w:ind w:firstLine="0"/>
              <w:rPr>
                <w:rFonts w:cs="Arial"/>
                <w:sz w:val="22"/>
              </w:rPr>
            </w:pPr>
            <w:r>
              <w:rPr>
                <w:rFonts w:cs="Arial"/>
                <w:sz w:val="22"/>
              </w:rPr>
              <w:t>21.12.2025</w:t>
            </w:r>
          </w:p>
        </w:tc>
        <w:tc>
          <w:tcPr>
            <w:tcW w:w="684" w:type="dxa"/>
            <w:tcBorders>
              <w:top w:val="single" w:color="auto" w:sz="4" w:space="0"/>
              <w:left w:val="single" w:color="auto" w:sz="4" w:space="0"/>
              <w:bottom w:val="single" w:color="auto" w:sz="4" w:space="0"/>
              <w:right w:val="single" w:color="auto" w:sz="4" w:space="0"/>
            </w:tcBorders>
          </w:tcPr>
          <w:p w14:paraId="2C82B44E">
            <w:pPr>
              <w:tabs>
                <w:tab w:val="left" w:pos="1848"/>
              </w:tabs>
              <w:spacing w:line="276" w:lineRule="auto"/>
              <w:rPr>
                <w:rFonts w:cs="Arial"/>
                <w:sz w:val="22"/>
              </w:rPr>
            </w:pPr>
            <w:r>
              <w:rPr>
                <w:rFonts w:cs="Arial"/>
                <w:sz w:val="22"/>
              </w:rPr>
              <w:t>N</w:t>
            </w:r>
          </w:p>
        </w:tc>
        <w:tc>
          <w:tcPr>
            <w:tcW w:w="734" w:type="dxa"/>
            <w:tcBorders>
              <w:top w:val="single" w:color="auto" w:sz="4" w:space="0"/>
              <w:left w:val="single" w:color="auto" w:sz="4" w:space="0"/>
              <w:bottom w:val="single" w:color="auto" w:sz="4" w:space="0"/>
              <w:right w:val="single" w:color="auto" w:sz="4" w:space="0"/>
            </w:tcBorders>
          </w:tcPr>
          <w:p w14:paraId="2D4BCD35">
            <w:pPr>
              <w:tabs>
                <w:tab w:val="left" w:pos="1848"/>
              </w:tabs>
              <w:spacing w:line="276" w:lineRule="auto"/>
              <w:rPr>
                <w:rFonts w:cs="Arial"/>
                <w:sz w:val="22"/>
              </w:rPr>
            </w:pPr>
          </w:p>
          <w:p w14:paraId="500C3EEC">
            <w:pPr>
              <w:tabs>
                <w:tab w:val="left" w:pos="1848"/>
              </w:tabs>
              <w:spacing w:line="276" w:lineRule="auto"/>
              <w:ind w:firstLine="0"/>
              <w:rPr>
                <w:rFonts w:cs="Arial"/>
                <w:sz w:val="22"/>
              </w:rPr>
            </w:pPr>
            <w:r>
              <w:rPr>
                <w:rFonts w:cs="Arial"/>
                <w:sz w:val="22"/>
              </w:rPr>
              <w:t>X</w:t>
            </w:r>
          </w:p>
        </w:tc>
      </w:tr>
      <w:tr w14:paraId="7338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4AA93143">
            <w:pPr>
              <w:spacing w:line="276" w:lineRule="auto"/>
              <w:rPr>
                <w:rFonts w:cs="Arial"/>
                <w:sz w:val="22"/>
              </w:rPr>
            </w:pPr>
            <w:r>
              <w:rPr>
                <w:rFonts w:cs="Arial"/>
                <w:sz w:val="22"/>
              </w:rPr>
              <w:t>22</w:t>
            </w:r>
          </w:p>
        </w:tc>
        <w:tc>
          <w:tcPr>
            <w:tcW w:w="3330" w:type="dxa"/>
            <w:tcBorders>
              <w:top w:val="single" w:color="auto" w:sz="4" w:space="0"/>
              <w:left w:val="single" w:color="auto" w:sz="4" w:space="0"/>
              <w:bottom w:val="single" w:color="auto" w:sz="4" w:space="0"/>
              <w:right w:val="single" w:color="auto" w:sz="4" w:space="0"/>
            </w:tcBorders>
          </w:tcPr>
          <w:p w14:paraId="57D3B214">
            <w:pPr>
              <w:spacing w:line="276" w:lineRule="auto"/>
              <w:ind w:firstLine="0"/>
              <w:jc w:val="left"/>
              <w:rPr>
                <w:rFonts w:cs="Arial"/>
                <w:sz w:val="22"/>
              </w:rPr>
            </w:pPr>
            <w:r>
              <w:rPr>
                <w:rFonts w:cs="Arial"/>
                <w:iCs/>
                <w:color w:val="000000" w:themeColor="text1"/>
                <w:sz w:val="22"/>
                <w:lang w:val="ro-RO"/>
                <w14:textFill>
                  <w14:solidFill>
                    <w14:schemeClr w14:val="tx1"/>
                  </w14:solidFill>
                </w14:textFill>
              </w:rPr>
              <w:t>Modernizare si reabilitare strazi in satele Simian,Dudasu si Poroina</w:t>
            </w:r>
          </w:p>
        </w:tc>
        <w:tc>
          <w:tcPr>
            <w:tcW w:w="2790" w:type="dxa"/>
            <w:tcBorders>
              <w:top w:val="single" w:color="auto" w:sz="4" w:space="0"/>
              <w:left w:val="single" w:color="auto" w:sz="4" w:space="0"/>
              <w:bottom w:val="single" w:color="auto" w:sz="4" w:space="0"/>
              <w:right w:val="single" w:color="auto" w:sz="4" w:space="0"/>
            </w:tcBorders>
          </w:tcPr>
          <w:p w14:paraId="7C14DBDC">
            <w:pPr>
              <w:tabs>
                <w:tab w:val="left" w:pos="1848"/>
              </w:tabs>
              <w:spacing w:line="276" w:lineRule="auto"/>
              <w:ind w:firstLine="0"/>
              <w:jc w:val="left"/>
              <w:rPr>
                <w:rFonts w:cs="Arial"/>
                <w:i/>
                <w:iCs/>
                <w:sz w:val="22"/>
              </w:rPr>
            </w:pPr>
            <w:r>
              <w:rPr>
                <w:rFonts w:cs="Arial"/>
                <w:iCs/>
                <w:color w:val="000000" w:themeColor="text1"/>
                <w:sz w:val="22"/>
                <w:lang w:val="ro-RO"/>
                <w14:textFill>
                  <w14:solidFill>
                    <w14:schemeClr w14:val="tx1"/>
                  </w14:solidFill>
                </w14:textFill>
              </w:rPr>
              <w:t>Finalizare proces reabilitare</w:t>
            </w:r>
          </w:p>
        </w:tc>
        <w:tc>
          <w:tcPr>
            <w:tcW w:w="1350" w:type="dxa"/>
            <w:tcBorders>
              <w:top w:val="single" w:color="auto" w:sz="4" w:space="0"/>
              <w:left w:val="single" w:color="auto" w:sz="4" w:space="0"/>
              <w:bottom w:val="single" w:color="auto" w:sz="4" w:space="0"/>
              <w:right w:val="single" w:color="auto" w:sz="4" w:space="0"/>
            </w:tcBorders>
          </w:tcPr>
          <w:p w14:paraId="47438DB8">
            <w:pPr>
              <w:tabs>
                <w:tab w:val="left" w:pos="1848"/>
              </w:tabs>
              <w:spacing w:line="276" w:lineRule="auto"/>
              <w:ind w:firstLine="0"/>
              <w:jc w:val="left"/>
              <w:rPr>
                <w:rFonts w:cs="Arial"/>
                <w:sz w:val="22"/>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6BF1DAF5">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3869D893">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2025</w:t>
            </w:r>
          </w:p>
        </w:tc>
        <w:tc>
          <w:tcPr>
            <w:tcW w:w="684" w:type="dxa"/>
            <w:tcBorders>
              <w:top w:val="single" w:color="auto" w:sz="4" w:space="0"/>
              <w:left w:val="single" w:color="auto" w:sz="4" w:space="0"/>
              <w:bottom w:val="single" w:color="auto" w:sz="4" w:space="0"/>
              <w:right w:val="single" w:color="auto" w:sz="4" w:space="0"/>
            </w:tcBorders>
          </w:tcPr>
          <w:p w14:paraId="4FA644B6">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38A6D4A2">
            <w:pPr>
              <w:tabs>
                <w:tab w:val="left" w:pos="1848"/>
              </w:tabs>
              <w:spacing w:line="276" w:lineRule="auto"/>
              <w:rPr>
                <w:rFonts w:cs="Arial"/>
                <w:sz w:val="22"/>
              </w:rPr>
            </w:pPr>
            <w:r>
              <w:rPr>
                <w:rFonts w:cs="Arial"/>
                <w:sz w:val="22"/>
              </w:rPr>
              <w:t>xx</w:t>
            </w:r>
          </w:p>
        </w:tc>
      </w:tr>
      <w:tr w14:paraId="037E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2CE64346">
            <w:pPr>
              <w:spacing w:line="276" w:lineRule="auto"/>
              <w:rPr>
                <w:rFonts w:cs="Arial"/>
                <w:sz w:val="22"/>
              </w:rPr>
            </w:pPr>
            <w:r>
              <w:rPr>
                <w:rFonts w:cs="Arial"/>
                <w:sz w:val="22"/>
              </w:rPr>
              <w:t>33</w:t>
            </w:r>
          </w:p>
        </w:tc>
        <w:tc>
          <w:tcPr>
            <w:tcW w:w="3330" w:type="dxa"/>
            <w:tcBorders>
              <w:top w:val="single" w:color="auto" w:sz="4" w:space="0"/>
              <w:left w:val="single" w:color="auto" w:sz="4" w:space="0"/>
              <w:bottom w:val="single" w:color="auto" w:sz="4" w:space="0"/>
              <w:right w:val="single" w:color="auto" w:sz="4" w:space="0"/>
            </w:tcBorders>
          </w:tcPr>
          <w:p w14:paraId="18AFABA6">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Amenajare trotuar si spatiu verde ,zona dispensar,sat Simian,com Simian</w:t>
            </w:r>
          </w:p>
        </w:tc>
        <w:tc>
          <w:tcPr>
            <w:tcW w:w="2790" w:type="dxa"/>
            <w:tcBorders>
              <w:top w:val="single" w:color="auto" w:sz="4" w:space="0"/>
              <w:left w:val="single" w:color="auto" w:sz="4" w:space="0"/>
              <w:bottom w:val="single" w:color="auto" w:sz="4" w:space="0"/>
              <w:right w:val="single" w:color="auto" w:sz="4" w:space="0"/>
            </w:tcBorders>
          </w:tcPr>
          <w:p w14:paraId="2658C344">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proces amenajare</w:t>
            </w:r>
          </w:p>
        </w:tc>
        <w:tc>
          <w:tcPr>
            <w:tcW w:w="1350" w:type="dxa"/>
            <w:tcBorders>
              <w:top w:val="single" w:color="auto" w:sz="4" w:space="0"/>
              <w:left w:val="single" w:color="auto" w:sz="4" w:space="0"/>
              <w:bottom w:val="single" w:color="auto" w:sz="4" w:space="0"/>
              <w:right w:val="single" w:color="auto" w:sz="4" w:space="0"/>
            </w:tcBorders>
          </w:tcPr>
          <w:p w14:paraId="3647D7E1">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7D3193D9">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7201E61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Borders>
              <w:top w:val="single" w:color="auto" w:sz="4" w:space="0"/>
              <w:left w:val="single" w:color="auto" w:sz="4" w:space="0"/>
              <w:bottom w:val="single" w:color="auto" w:sz="4" w:space="0"/>
              <w:right w:val="single" w:color="auto" w:sz="4" w:space="0"/>
            </w:tcBorders>
          </w:tcPr>
          <w:p w14:paraId="4DE5D128">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0495D7A8">
            <w:pPr>
              <w:tabs>
                <w:tab w:val="left" w:pos="1848"/>
              </w:tabs>
              <w:spacing w:line="276" w:lineRule="auto"/>
              <w:rPr>
                <w:rFonts w:cs="Arial"/>
                <w:sz w:val="22"/>
              </w:rPr>
            </w:pPr>
            <w:r>
              <w:rPr>
                <w:rFonts w:cs="Arial"/>
                <w:sz w:val="22"/>
              </w:rPr>
              <w:t>xx</w:t>
            </w:r>
          </w:p>
        </w:tc>
      </w:tr>
      <w:tr w14:paraId="0FF3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498073D9">
            <w:pPr>
              <w:spacing w:line="276" w:lineRule="auto"/>
              <w:rPr>
                <w:rFonts w:cs="Arial"/>
                <w:sz w:val="22"/>
              </w:rPr>
            </w:pPr>
            <w:r>
              <w:rPr>
                <w:rFonts w:cs="Arial"/>
                <w:sz w:val="22"/>
              </w:rPr>
              <w:t>44</w:t>
            </w:r>
          </w:p>
        </w:tc>
        <w:tc>
          <w:tcPr>
            <w:tcW w:w="3330" w:type="dxa"/>
            <w:tcBorders>
              <w:top w:val="single" w:color="auto" w:sz="4" w:space="0"/>
              <w:left w:val="single" w:color="auto" w:sz="4" w:space="0"/>
              <w:bottom w:val="single" w:color="auto" w:sz="4" w:space="0"/>
              <w:right w:val="single" w:color="auto" w:sz="4" w:space="0"/>
            </w:tcBorders>
          </w:tcPr>
          <w:p w14:paraId="5FE91616">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Actualizare PUG-Comuna Simian</w:t>
            </w:r>
          </w:p>
        </w:tc>
        <w:tc>
          <w:tcPr>
            <w:tcW w:w="2790" w:type="dxa"/>
            <w:tcBorders>
              <w:top w:val="single" w:color="auto" w:sz="4" w:space="0"/>
              <w:left w:val="single" w:color="auto" w:sz="4" w:space="0"/>
              <w:bottom w:val="single" w:color="auto" w:sz="4" w:space="0"/>
              <w:right w:val="single" w:color="auto" w:sz="4" w:space="0"/>
            </w:tcBorders>
          </w:tcPr>
          <w:p w14:paraId="0C01240F">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proces de actualizare</w:t>
            </w:r>
          </w:p>
        </w:tc>
        <w:tc>
          <w:tcPr>
            <w:tcW w:w="1350" w:type="dxa"/>
            <w:tcBorders>
              <w:top w:val="single" w:color="auto" w:sz="4" w:space="0"/>
              <w:left w:val="single" w:color="auto" w:sz="4" w:space="0"/>
              <w:bottom w:val="single" w:color="auto" w:sz="4" w:space="0"/>
              <w:right w:val="single" w:color="auto" w:sz="4" w:space="0"/>
            </w:tcBorders>
          </w:tcPr>
          <w:p w14:paraId="22D113AA">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49EC2DC9">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04A5475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Borders>
              <w:top w:val="single" w:color="auto" w:sz="4" w:space="0"/>
              <w:left w:val="single" w:color="auto" w:sz="4" w:space="0"/>
              <w:bottom w:val="single" w:color="auto" w:sz="4" w:space="0"/>
              <w:right w:val="single" w:color="auto" w:sz="4" w:space="0"/>
            </w:tcBorders>
          </w:tcPr>
          <w:p w14:paraId="53AFC8B3">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4C8D9331">
            <w:pPr>
              <w:tabs>
                <w:tab w:val="left" w:pos="1848"/>
              </w:tabs>
              <w:spacing w:line="276" w:lineRule="auto"/>
              <w:rPr>
                <w:rFonts w:cs="Arial"/>
                <w:sz w:val="22"/>
              </w:rPr>
            </w:pPr>
          </w:p>
          <w:p w14:paraId="19B355EB">
            <w:pPr>
              <w:rPr>
                <w:rFonts w:cs="Arial"/>
                <w:sz w:val="22"/>
              </w:rPr>
            </w:pPr>
            <w:r>
              <w:rPr>
                <w:rFonts w:cs="Arial"/>
                <w:sz w:val="22"/>
              </w:rPr>
              <w:t>xx</w:t>
            </w:r>
          </w:p>
        </w:tc>
      </w:tr>
      <w:tr w14:paraId="0A9E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122551D0">
            <w:pPr>
              <w:spacing w:line="276" w:lineRule="auto"/>
              <w:rPr>
                <w:rFonts w:cs="Arial"/>
                <w:sz w:val="22"/>
              </w:rPr>
            </w:pPr>
            <w:r>
              <w:rPr>
                <w:rFonts w:cs="Arial"/>
                <w:sz w:val="22"/>
              </w:rPr>
              <w:t>55</w:t>
            </w:r>
          </w:p>
        </w:tc>
        <w:tc>
          <w:tcPr>
            <w:tcW w:w="3330" w:type="dxa"/>
            <w:tcBorders>
              <w:top w:val="single" w:color="auto" w:sz="4" w:space="0"/>
              <w:left w:val="single" w:color="auto" w:sz="4" w:space="0"/>
              <w:bottom w:val="single" w:color="auto" w:sz="4" w:space="0"/>
              <w:right w:val="single" w:color="auto" w:sz="4" w:space="0"/>
            </w:tcBorders>
          </w:tcPr>
          <w:p w14:paraId="3CC05D59">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Reabilitarea strazii Dedovitei-partial si DC21-partial</w:t>
            </w:r>
          </w:p>
        </w:tc>
        <w:tc>
          <w:tcPr>
            <w:tcW w:w="2790" w:type="dxa"/>
            <w:tcBorders>
              <w:top w:val="single" w:color="auto" w:sz="4" w:space="0"/>
              <w:left w:val="single" w:color="auto" w:sz="4" w:space="0"/>
              <w:bottom w:val="single" w:color="auto" w:sz="4" w:space="0"/>
              <w:right w:val="single" w:color="auto" w:sz="4" w:space="0"/>
            </w:tcBorders>
          </w:tcPr>
          <w:p w14:paraId="3AC9EF6E">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proces reabilitare</w:t>
            </w:r>
          </w:p>
        </w:tc>
        <w:tc>
          <w:tcPr>
            <w:tcW w:w="1350" w:type="dxa"/>
            <w:tcBorders>
              <w:top w:val="single" w:color="auto" w:sz="4" w:space="0"/>
              <w:left w:val="single" w:color="auto" w:sz="4" w:space="0"/>
              <w:bottom w:val="single" w:color="auto" w:sz="4" w:space="0"/>
              <w:right w:val="single" w:color="auto" w:sz="4" w:space="0"/>
            </w:tcBorders>
          </w:tcPr>
          <w:p w14:paraId="6FF32F7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5F70E6A2">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094CBF2E">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Borders>
              <w:top w:val="single" w:color="auto" w:sz="4" w:space="0"/>
              <w:left w:val="single" w:color="auto" w:sz="4" w:space="0"/>
              <w:bottom w:val="single" w:color="auto" w:sz="4" w:space="0"/>
              <w:right w:val="single" w:color="auto" w:sz="4" w:space="0"/>
            </w:tcBorders>
          </w:tcPr>
          <w:p w14:paraId="604EF185">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4F9462CB">
            <w:pPr>
              <w:tabs>
                <w:tab w:val="left" w:pos="1848"/>
              </w:tabs>
              <w:spacing w:line="276" w:lineRule="auto"/>
              <w:rPr>
                <w:rFonts w:cs="Arial"/>
                <w:sz w:val="22"/>
              </w:rPr>
            </w:pPr>
            <w:r>
              <w:rPr>
                <w:rFonts w:cs="Arial"/>
                <w:sz w:val="22"/>
              </w:rPr>
              <w:t>xx</w:t>
            </w:r>
          </w:p>
        </w:tc>
      </w:tr>
      <w:tr w14:paraId="2334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56DCD307">
            <w:pPr>
              <w:spacing w:line="276" w:lineRule="auto"/>
              <w:rPr>
                <w:rFonts w:cs="Arial"/>
                <w:sz w:val="22"/>
              </w:rPr>
            </w:pPr>
            <w:r>
              <w:rPr>
                <w:rFonts w:cs="Arial"/>
                <w:sz w:val="22"/>
              </w:rPr>
              <w:t>66</w:t>
            </w:r>
          </w:p>
        </w:tc>
        <w:tc>
          <w:tcPr>
            <w:tcW w:w="3330" w:type="dxa"/>
            <w:tcBorders>
              <w:top w:val="single" w:color="auto" w:sz="4" w:space="0"/>
              <w:left w:val="single" w:color="auto" w:sz="4" w:space="0"/>
              <w:bottom w:val="single" w:color="auto" w:sz="4" w:space="0"/>
              <w:right w:val="single" w:color="auto" w:sz="4" w:space="0"/>
            </w:tcBorders>
          </w:tcPr>
          <w:p w14:paraId="70988D87">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Asfaltare strazi in satele Erghevita  si Poroina ,com Simian</w:t>
            </w:r>
          </w:p>
        </w:tc>
        <w:tc>
          <w:tcPr>
            <w:tcW w:w="2790" w:type="dxa"/>
            <w:tcBorders>
              <w:top w:val="single" w:color="auto" w:sz="4" w:space="0"/>
              <w:left w:val="single" w:color="auto" w:sz="4" w:space="0"/>
              <w:bottom w:val="single" w:color="auto" w:sz="4" w:space="0"/>
              <w:right w:val="single" w:color="auto" w:sz="4" w:space="0"/>
            </w:tcBorders>
          </w:tcPr>
          <w:p w14:paraId="277A7A04">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proces asfaltare</w:t>
            </w:r>
          </w:p>
        </w:tc>
        <w:tc>
          <w:tcPr>
            <w:tcW w:w="1350" w:type="dxa"/>
            <w:tcBorders>
              <w:top w:val="single" w:color="auto" w:sz="4" w:space="0"/>
              <w:left w:val="single" w:color="auto" w:sz="4" w:space="0"/>
              <w:bottom w:val="single" w:color="auto" w:sz="4" w:space="0"/>
              <w:right w:val="single" w:color="auto" w:sz="4" w:space="0"/>
            </w:tcBorders>
          </w:tcPr>
          <w:p w14:paraId="20A7BC9A">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5DFB2EEB">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0843D873">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Borders>
              <w:top w:val="single" w:color="auto" w:sz="4" w:space="0"/>
              <w:left w:val="single" w:color="auto" w:sz="4" w:space="0"/>
              <w:bottom w:val="single" w:color="auto" w:sz="4" w:space="0"/>
              <w:right w:val="single" w:color="auto" w:sz="4" w:space="0"/>
            </w:tcBorders>
          </w:tcPr>
          <w:p w14:paraId="2DD3568C">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1FABF721">
            <w:pPr>
              <w:tabs>
                <w:tab w:val="left" w:pos="1848"/>
              </w:tabs>
              <w:spacing w:line="276" w:lineRule="auto"/>
              <w:rPr>
                <w:rFonts w:cs="Arial"/>
                <w:sz w:val="22"/>
              </w:rPr>
            </w:pPr>
            <w:r>
              <w:rPr>
                <w:rFonts w:cs="Arial"/>
                <w:sz w:val="22"/>
              </w:rPr>
              <w:t>xx</w:t>
            </w:r>
          </w:p>
        </w:tc>
      </w:tr>
      <w:tr w14:paraId="6D0E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5BF640F4">
            <w:pPr>
              <w:spacing w:line="276" w:lineRule="auto"/>
              <w:rPr>
                <w:rFonts w:cs="Arial"/>
                <w:sz w:val="22"/>
              </w:rPr>
            </w:pPr>
            <w:r>
              <w:rPr>
                <w:rFonts w:cs="Arial"/>
                <w:sz w:val="22"/>
              </w:rPr>
              <w:t>77</w:t>
            </w:r>
          </w:p>
        </w:tc>
        <w:tc>
          <w:tcPr>
            <w:tcW w:w="3330" w:type="dxa"/>
            <w:tcBorders>
              <w:top w:val="single" w:color="auto" w:sz="4" w:space="0"/>
              <w:left w:val="single" w:color="auto" w:sz="4" w:space="0"/>
              <w:bottom w:val="single" w:color="auto" w:sz="4" w:space="0"/>
              <w:right w:val="single" w:color="auto" w:sz="4" w:space="0"/>
            </w:tcBorders>
          </w:tcPr>
          <w:p w14:paraId="1126ACBB">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SF  „Drumul de legătură la Reţeaua Core în Zona Şimian- Drobeta Turnu-Severin”</w:t>
            </w:r>
          </w:p>
        </w:tc>
        <w:tc>
          <w:tcPr>
            <w:tcW w:w="2790" w:type="dxa"/>
            <w:tcBorders>
              <w:top w:val="single" w:color="auto" w:sz="4" w:space="0"/>
              <w:left w:val="single" w:color="auto" w:sz="4" w:space="0"/>
              <w:bottom w:val="single" w:color="auto" w:sz="4" w:space="0"/>
              <w:right w:val="single" w:color="auto" w:sz="4" w:space="0"/>
            </w:tcBorders>
          </w:tcPr>
          <w:p w14:paraId="13BD3E7B">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Reteaua Core</w:t>
            </w:r>
          </w:p>
        </w:tc>
        <w:tc>
          <w:tcPr>
            <w:tcW w:w="1350" w:type="dxa"/>
            <w:tcBorders>
              <w:top w:val="single" w:color="auto" w:sz="4" w:space="0"/>
              <w:left w:val="single" w:color="auto" w:sz="4" w:space="0"/>
              <w:bottom w:val="single" w:color="auto" w:sz="4" w:space="0"/>
              <w:right w:val="single" w:color="auto" w:sz="4" w:space="0"/>
            </w:tcBorders>
          </w:tcPr>
          <w:p w14:paraId="5E129F2B">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de stat-FEN</w:t>
            </w:r>
          </w:p>
        </w:tc>
        <w:tc>
          <w:tcPr>
            <w:tcW w:w="1170" w:type="dxa"/>
            <w:tcBorders>
              <w:top w:val="single" w:color="auto" w:sz="4" w:space="0"/>
              <w:left w:val="single" w:color="auto" w:sz="4" w:space="0"/>
              <w:bottom w:val="single" w:color="auto" w:sz="4" w:space="0"/>
              <w:right w:val="single" w:color="auto" w:sz="4" w:space="0"/>
            </w:tcBorders>
          </w:tcPr>
          <w:p w14:paraId="0B710E17">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0B363730">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2026</w:t>
            </w:r>
          </w:p>
        </w:tc>
        <w:tc>
          <w:tcPr>
            <w:tcW w:w="684" w:type="dxa"/>
            <w:tcBorders>
              <w:top w:val="single" w:color="auto" w:sz="4" w:space="0"/>
              <w:left w:val="single" w:color="auto" w:sz="4" w:space="0"/>
              <w:bottom w:val="single" w:color="auto" w:sz="4" w:space="0"/>
              <w:right w:val="single" w:color="auto" w:sz="4" w:space="0"/>
            </w:tcBorders>
          </w:tcPr>
          <w:p w14:paraId="39EFF412">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457322E4">
            <w:pPr>
              <w:tabs>
                <w:tab w:val="left" w:pos="1848"/>
              </w:tabs>
              <w:spacing w:line="276" w:lineRule="auto"/>
              <w:rPr>
                <w:rFonts w:cs="Arial"/>
                <w:sz w:val="22"/>
              </w:rPr>
            </w:pPr>
            <w:r>
              <w:rPr>
                <w:rFonts w:cs="Arial"/>
                <w:sz w:val="22"/>
              </w:rPr>
              <w:t>xx</w:t>
            </w:r>
          </w:p>
        </w:tc>
      </w:tr>
      <w:tr w14:paraId="3424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05534534">
            <w:pPr>
              <w:spacing w:line="276" w:lineRule="auto"/>
              <w:rPr>
                <w:rFonts w:cs="Arial"/>
                <w:sz w:val="22"/>
              </w:rPr>
            </w:pPr>
            <w:r>
              <w:rPr>
                <w:rFonts w:cs="Arial"/>
                <w:sz w:val="22"/>
              </w:rPr>
              <w:t>88</w:t>
            </w:r>
          </w:p>
        </w:tc>
        <w:tc>
          <w:tcPr>
            <w:tcW w:w="3330" w:type="dxa"/>
            <w:tcBorders>
              <w:top w:val="single" w:color="auto" w:sz="4" w:space="0"/>
              <w:left w:val="single" w:color="auto" w:sz="4" w:space="0"/>
              <w:bottom w:val="single" w:color="auto" w:sz="4" w:space="0"/>
              <w:right w:val="single" w:color="auto" w:sz="4" w:space="0"/>
            </w:tcBorders>
          </w:tcPr>
          <w:p w14:paraId="669287F2">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Modernizarea DC23 și DC21A cu asfaltare, sisteme de drenaj și iluminat solar, inclusiv racordarea la DN6/DN56A prin noduri rutiere semaforizate</w:t>
            </w:r>
          </w:p>
        </w:tc>
        <w:tc>
          <w:tcPr>
            <w:tcW w:w="2790" w:type="dxa"/>
            <w:tcBorders>
              <w:top w:val="single" w:color="auto" w:sz="4" w:space="0"/>
              <w:left w:val="single" w:color="auto" w:sz="4" w:space="0"/>
              <w:bottom w:val="single" w:color="auto" w:sz="4" w:space="0"/>
              <w:right w:val="single" w:color="auto" w:sz="4" w:space="0"/>
            </w:tcBorders>
          </w:tcPr>
          <w:p w14:paraId="1E7647A0">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conectivității rutiere</w:t>
            </w:r>
          </w:p>
        </w:tc>
        <w:tc>
          <w:tcPr>
            <w:tcW w:w="1350" w:type="dxa"/>
            <w:tcBorders>
              <w:top w:val="single" w:color="auto" w:sz="4" w:space="0"/>
              <w:left w:val="single" w:color="auto" w:sz="4" w:space="0"/>
              <w:bottom w:val="single" w:color="auto" w:sz="4" w:space="0"/>
              <w:right w:val="single" w:color="auto" w:sz="4" w:space="0"/>
            </w:tcBorders>
          </w:tcPr>
          <w:p w14:paraId="3AA69081">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Fondul de Coeziune (Axa 2 - Transport)</w:t>
            </w:r>
          </w:p>
        </w:tc>
        <w:tc>
          <w:tcPr>
            <w:tcW w:w="1170" w:type="dxa"/>
            <w:tcBorders>
              <w:top w:val="single" w:color="auto" w:sz="4" w:space="0"/>
              <w:left w:val="single" w:color="auto" w:sz="4" w:space="0"/>
              <w:bottom w:val="single" w:color="auto" w:sz="4" w:space="0"/>
              <w:right w:val="single" w:color="auto" w:sz="4" w:space="0"/>
            </w:tcBorders>
          </w:tcPr>
          <w:p w14:paraId="2302745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3036E2E9">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44ABD74A">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0F6F1923">
            <w:pPr>
              <w:tabs>
                <w:tab w:val="left" w:pos="1848"/>
              </w:tabs>
              <w:spacing w:line="276" w:lineRule="auto"/>
              <w:rPr>
                <w:rFonts w:cs="Arial"/>
                <w:sz w:val="22"/>
              </w:rPr>
            </w:pPr>
            <w:r>
              <w:rPr>
                <w:rFonts w:cs="Arial"/>
                <w:sz w:val="22"/>
              </w:rPr>
              <w:t>xx</w:t>
            </w:r>
          </w:p>
        </w:tc>
      </w:tr>
      <w:tr w14:paraId="6F76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22271985">
            <w:pPr>
              <w:spacing w:line="276" w:lineRule="auto"/>
              <w:rPr>
                <w:rFonts w:cs="Arial"/>
                <w:sz w:val="22"/>
              </w:rPr>
            </w:pPr>
            <w:r>
              <w:rPr>
                <w:rFonts w:cs="Arial"/>
                <w:sz w:val="22"/>
              </w:rPr>
              <w:t>99</w:t>
            </w:r>
          </w:p>
        </w:tc>
        <w:tc>
          <w:tcPr>
            <w:tcW w:w="3330" w:type="dxa"/>
            <w:tcBorders>
              <w:top w:val="single" w:color="auto" w:sz="4" w:space="0"/>
              <w:left w:val="single" w:color="auto" w:sz="4" w:space="0"/>
              <w:bottom w:val="single" w:color="auto" w:sz="4" w:space="0"/>
              <w:right w:val="single" w:color="auto" w:sz="4" w:space="0"/>
            </w:tcBorders>
          </w:tcPr>
          <w:p w14:paraId="510ACDB8">
            <w:pPr>
              <w:spacing w:line="276" w:lineRule="auto"/>
              <w:ind w:firstLine="0"/>
              <w:jc w:val="left"/>
              <w:rPr>
                <w:rFonts w:cs="Arial"/>
                <w:iCs/>
                <w:color w:val="000000" w:themeColor="text1"/>
                <w:sz w:val="22"/>
                <w:lang w:val="ro-RO"/>
                <w14:textFill>
                  <w14:solidFill>
                    <w14:schemeClr w14:val="tx1"/>
                  </w14:solidFill>
                </w14:textFill>
              </w:rPr>
            </w:pPr>
            <w:r>
              <w:rPr>
                <w:rFonts w:cs="Arial"/>
                <w:sz w:val="22"/>
                <w:lang w:val="ro-RO"/>
              </w:rPr>
              <w:t xml:space="preserve">Construcția unei centuri ocolitoare nordice a comunei Șimian (4 km) cu benzi dedicate transportului public și piste biciclete. </w:t>
            </w:r>
          </w:p>
        </w:tc>
        <w:tc>
          <w:tcPr>
            <w:tcW w:w="2790" w:type="dxa"/>
            <w:tcBorders>
              <w:top w:val="single" w:color="auto" w:sz="4" w:space="0"/>
              <w:left w:val="single" w:color="auto" w:sz="4" w:space="0"/>
              <w:bottom w:val="single" w:color="auto" w:sz="4" w:space="0"/>
              <w:right w:val="single" w:color="auto" w:sz="4" w:space="0"/>
            </w:tcBorders>
          </w:tcPr>
          <w:p w14:paraId="2682F3D9">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conectivității rutiere</w:t>
            </w:r>
          </w:p>
        </w:tc>
        <w:tc>
          <w:tcPr>
            <w:tcW w:w="1350" w:type="dxa"/>
            <w:tcBorders>
              <w:top w:val="single" w:color="auto" w:sz="4" w:space="0"/>
              <w:left w:val="single" w:color="auto" w:sz="4" w:space="0"/>
              <w:bottom w:val="single" w:color="auto" w:sz="4" w:space="0"/>
              <w:right w:val="single" w:color="auto" w:sz="4" w:space="0"/>
            </w:tcBorders>
          </w:tcPr>
          <w:p w14:paraId="08D183CF">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sz w:val="22"/>
                <w:lang w:val="ro-RO"/>
              </w:rPr>
              <w:t>PNRR (Componenta Transport)</w:t>
            </w:r>
          </w:p>
        </w:tc>
        <w:tc>
          <w:tcPr>
            <w:tcW w:w="1170" w:type="dxa"/>
            <w:tcBorders>
              <w:top w:val="single" w:color="auto" w:sz="4" w:space="0"/>
              <w:left w:val="single" w:color="auto" w:sz="4" w:space="0"/>
              <w:bottom w:val="single" w:color="auto" w:sz="4" w:space="0"/>
              <w:right w:val="single" w:color="auto" w:sz="4" w:space="0"/>
            </w:tcBorders>
          </w:tcPr>
          <w:p w14:paraId="68BA439C">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4CC0A657">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15BA3C50">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64FB89DC">
            <w:pPr>
              <w:tabs>
                <w:tab w:val="left" w:pos="1848"/>
              </w:tabs>
              <w:spacing w:line="276" w:lineRule="auto"/>
              <w:rPr>
                <w:rFonts w:cs="Arial"/>
                <w:sz w:val="22"/>
              </w:rPr>
            </w:pPr>
          </w:p>
          <w:p w14:paraId="24A88156">
            <w:pPr>
              <w:rPr>
                <w:rFonts w:cs="Arial"/>
                <w:sz w:val="22"/>
              </w:rPr>
            </w:pPr>
            <w:r>
              <w:rPr>
                <w:rFonts w:cs="Arial"/>
                <w:sz w:val="22"/>
              </w:rPr>
              <w:t>xx</w:t>
            </w:r>
          </w:p>
        </w:tc>
      </w:tr>
      <w:tr w14:paraId="6309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2FA11284">
            <w:pPr>
              <w:spacing w:line="276" w:lineRule="auto"/>
              <w:rPr>
                <w:rFonts w:cs="Arial"/>
                <w:sz w:val="22"/>
              </w:rPr>
            </w:pPr>
            <w:r>
              <w:rPr>
                <w:rFonts w:cs="Arial"/>
                <w:sz w:val="22"/>
              </w:rPr>
              <w:t>110</w:t>
            </w:r>
          </w:p>
        </w:tc>
        <w:tc>
          <w:tcPr>
            <w:tcW w:w="3330" w:type="dxa"/>
            <w:tcBorders>
              <w:top w:val="single" w:color="auto" w:sz="4" w:space="0"/>
              <w:left w:val="single" w:color="auto" w:sz="4" w:space="0"/>
              <w:bottom w:val="single" w:color="auto" w:sz="4" w:space="0"/>
              <w:right w:val="single" w:color="auto" w:sz="4" w:space="0"/>
            </w:tcBorders>
          </w:tcPr>
          <w:p w14:paraId="51500DD2">
            <w:pPr>
              <w:spacing w:line="276" w:lineRule="auto"/>
              <w:ind w:firstLine="0"/>
              <w:jc w:val="left"/>
              <w:rPr>
                <w:rFonts w:cs="Arial"/>
                <w:sz w:val="22"/>
                <w:lang w:val="ro-RO"/>
              </w:rPr>
            </w:pPr>
            <w:r>
              <w:rPr>
                <w:rFonts w:cs="Arial"/>
                <w:sz w:val="22"/>
                <w:lang w:val="ro-RO"/>
              </w:rPr>
              <w:t xml:space="preserve">Reabilitarea integrală a străzilor principale în 5 sate, cu asfaltare, borduri și semnalizare rutieră. </w:t>
            </w:r>
          </w:p>
        </w:tc>
        <w:tc>
          <w:tcPr>
            <w:tcW w:w="2790" w:type="dxa"/>
            <w:tcBorders>
              <w:top w:val="single" w:color="auto" w:sz="4" w:space="0"/>
              <w:left w:val="single" w:color="auto" w:sz="4" w:space="0"/>
              <w:bottom w:val="single" w:color="auto" w:sz="4" w:space="0"/>
              <w:right w:val="single" w:color="auto" w:sz="4" w:space="0"/>
            </w:tcBorders>
          </w:tcPr>
          <w:p w14:paraId="072F1027">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conectivității rutiere</w:t>
            </w:r>
          </w:p>
        </w:tc>
        <w:tc>
          <w:tcPr>
            <w:tcW w:w="1350" w:type="dxa"/>
            <w:tcBorders>
              <w:top w:val="single" w:color="auto" w:sz="4" w:space="0"/>
              <w:left w:val="single" w:color="auto" w:sz="4" w:space="0"/>
              <w:bottom w:val="single" w:color="auto" w:sz="4" w:space="0"/>
              <w:right w:val="single" w:color="auto" w:sz="4" w:space="0"/>
            </w:tcBorders>
          </w:tcPr>
          <w:p w14:paraId="338B59FF">
            <w:pPr>
              <w:tabs>
                <w:tab w:val="left" w:pos="1848"/>
              </w:tabs>
              <w:spacing w:line="276" w:lineRule="auto"/>
              <w:ind w:firstLine="0"/>
              <w:jc w:val="left"/>
              <w:rPr>
                <w:rFonts w:cs="Arial"/>
                <w:sz w:val="22"/>
                <w:lang w:val="ro-RO"/>
              </w:rPr>
            </w:pPr>
            <w:r>
              <w:rPr>
                <w:rFonts w:cs="Arial"/>
                <w:sz w:val="22"/>
                <w:lang w:val="ro-RO"/>
              </w:rPr>
              <w:t>FEADR (Măsura 4.4 - Infrastructură rurală).</w:t>
            </w:r>
          </w:p>
        </w:tc>
        <w:tc>
          <w:tcPr>
            <w:tcW w:w="1170" w:type="dxa"/>
            <w:tcBorders>
              <w:top w:val="single" w:color="auto" w:sz="4" w:space="0"/>
              <w:left w:val="single" w:color="auto" w:sz="4" w:space="0"/>
              <w:bottom w:val="single" w:color="auto" w:sz="4" w:space="0"/>
              <w:right w:val="single" w:color="auto" w:sz="4" w:space="0"/>
            </w:tcBorders>
          </w:tcPr>
          <w:p w14:paraId="04085D7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4FF638D4">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33EF095D">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7EA44B47">
            <w:pPr>
              <w:tabs>
                <w:tab w:val="left" w:pos="1848"/>
              </w:tabs>
              <w:spacing w:line="276" w:lineRule="auto"/>
              <w:rPr>
                <w:rFonts w:cs="Arial"/>
                <w:sz w:val="22"/>
              </w:rPr>
            </w:pPr>
          </w:p>
          <w:p w14:paraId="74470149">
            <w:pPr>
              <w:tabs>
                <w:tab w:val="left" w:pos="1848"/>
              </w:tabs>
              <w:spacing w:line="276" w:lineRule="auto"/>
              <w:rPr>
                <w:rFonts w:cs="Arial"/>
                <w:sz w:val="22"/>
              </w:rPr>
            </w:pPr>
            <w:r>
              <w:rPr>
                <w:rFonts w:cs="Arial"/>
                <w:sz w:val="22"/>
              </w:rPr>
              <w:t>xx</w:t>
            </w:r>
          </w:p>
        </w:tc>
      </w:tr>
      <w:tr w14:paraId="3E16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64F6D3BB">
            <w:pPr>
              <w:spacing w:line="276" w:lineRule="auto"/>
              <w:rPr>
                <w:rFonts w:cs="Arial"/>
                <w:sz w:val="22"/>
              </w:rPr>
            </w:pPr>
            <w:r>
              <w:rPr>
                <w:rFonts w:cs="Arial"/>
                <w:sz w:val="22"/>
              </w:rPr>
              <w:t>111</w:t>
            </w:r>
          </w:p>
        </w:tc>
        <w:tc>
          <w:tcPr>
            <w:tcW w:w="3330" w:type="dxa"/>
            <w:tcBorders>
              <w:top w:val="single" w:color="auto" w:sz="4" w:space="0"/>
              <w:left w:val="single" w:color="auto" w:sz="4" w:space="0"/>
              <w:bottom w:val="single" w:color="auto" w:sz="4" w:space="0"/>
              <w:right w:val="single" w:color="auto" w:sz="4" w:space="0"/>
            </w:tcBorders>
          </w:tcPr>
          <w:p w14:paraId="140640F6">
            <w:pPr>
              <w:spacing w:before="60"/>
              <w:ind w:firstLine="0"/>
              <w:rPr>
                <w:rFonts w:cs="Arial"/>
                <w:sz w:val="22"/>
                <w:lang w:val="ro-RO"/>
              </w:rPr>
            </w:pPr>
            <w:r>
              <w:rPr>
                <w:rFonts w:cs="Arial"/>
                <w:sz w:val="22"/>
                <w:lang w:val="ro-RO"/>
              </w:rPr>
              <w:t>Implementarea sistemului “Șimian Mobil”:</w:t>
            </w:r>
          </w:p>
          <w:p w14:paraId="4EF6E67F">
            <w:pPr>
              <w:spacing w:before="60"/>
              <w:ind w:firstLine="0"/>
              <w:rPr>
                <w:rFonts w:eastAsia="SimSun" w:cs="Arial"/>
                <w:sz w:val="22"/>
                <w:lang w:val="ro-RO"/>
              </w:rPr>
            </w:pPr>
            <w:r>
              <w:rPr>
                <w:rFonts w:eastAsia="SimSun" w:cs="Arial"/>
                <w:sz w:val="22"/>
                <w:lang w:val="ro-RO"/>
              </w:rPr>
              <w:t>15 km de piste biciclete de-a lungul DN6 și DC21;</w:t>
            </w:r>
          </w:p>
          <w:p w14:paraId="70F57AC3">
            <w:pPr>
              <w:spacing w:before="60"/>
              <w:ind w:firstLine="0"/>
              <w:rPr>
                <w:rFonts w:eastAsia="SimSun" w:cs="Arial"/>
                <w:sz w:val="22"/>
                <w:lang w:val="ro-RO"/>
              </w:rPr>
            </w:pPr>
            <w:r>
              <w:rPr>
                <w:rFonts w:eastAsia="SimSun" w:cs="Arial"/>
                <w:sz w:val="22"/>
                <w:lang w:val="ro-RO"/>
              </w:rPr>
              <w:t>3 stații de încărcare pentru vehicule electrice;</w:t>
            </w:r>
          </w:p>
          <w:p w14:paraId="147388DF">
            <w:pPr>
              <w:spacing w:before="60"/>
              <w:ind w:firstLine="0"/>
              <w:rPr>
                <w:rFonts w:eastAsia="SimSun" w:cs="Arial"/>
                <w:sz w:val="22"/>
                <w:lang w:val="ro-RO"/>
              </w:rPr>
            </w:pPr>
            <w:r>
              <w:rPr>
                <w:rFonts w:eastAsia="SimSun" w:cs="Arial"/>
                <w:sz w:val="22"/>
                <w:lang w:val="ro-RO"/>
              </w:rPr>
              <w:t>Flotă de microbuze electrice pentru transport școlar.</w:t>
            </w:r>
          </w:p>
          <w:p w14:paraId="6C25AAD0">
            <w:pPr>
              <w:spacing w:line="276" w:lineRule="auto"/>
              <w:ind w:firstLine="0"/>
              <w:jc w:val="left"/>
              <w:rPr>
                <w:rFonts w:cs="Arial"/>
                <w:sz w:val="22"/>
                <w:lang w:val="ro-RO"/>
              </w:rPr>
            </w:pPr>
          </w:p>
        </w:tc>
        <w:tc>
          <w:tcPr>
            <w:tcW w:w="2790" w:type="dxa"/>
            <w:tcBorders>
              <w:top w:val="single" w:color="auto" w:sz="4" w:space="0"/>
              <w:left w:val="single" w:color="auto" w:sz="4" w:space="0"/>
              <w:bottom w:val="single" w:color="auto" w:sz="4" w:space="0"/>
              <w:right w:val="single" w:color="auto" w:sz="4" w:space="0"/>
            </w:tcBorders>
          </w:tcPr>
          <w:p w14:paraId="7C16CD64">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conectivității rutiere</w:t>
            </w:r>
          </w:p>
        </w:tc>
        <w:tc>
          <w:tcPr>
            <w:tcW w:w="1350" w:type="dxa"/>
            <w:tcBorders>
              <w:top w:val="single" w:color="auto" w:sz="4" w:space="0"/>
              <w:left w:val="single" w:color="auto" w:sz="4" w:space="0"/>
              <w:bottom w:val="single" w:color="auto" w:sz="4" w:space="0"/>
              <w:right w:val="single" w:color="auto" w:sz="4" w:space="0"/>
            </w:tcBorders>
          </w:tcPr>
          <w:p w14:paraId="11D281D2">
            <w:pPr>
              <w:tabs>
                <w:tab w:val="left" w:pos="1848"/>
              </w:tabs>
              <w:spacing w:line="276" w:lineRule="auto"/>
              <w:ind w:firstLine="0"/>
              <w:jc w:val="left"/>
              <w:rPr>
                <w:rFonts w:cs="Arial"/>
                <w:sz w:val="22"/>
                <w:lang w:val="ro-RO"/>
              </w:rPr>
            </w:pPr>
            <w:r>
              <w:rPr>
                <w:rFonts w:cs="Arial"/>
                <w:sz w:val="22"/>
                <w:lang w:val="ro-RO"/>
              </w:rPr>
              <w:t>Fondul pentru Mediu</w:t>
            </w:r>
          </w:p>
        </w:tc>
        <w:tc>
          <w:tcPr>
            <w:tcW w:w="1170" w:type="dxa"/>
            <w:tcBorders>
              <w:top w:val="single" w:color="auto" w:sz="4" w:space="0"/>
              <w:left w:val="single" w:color="auto" w:sz="4" w:space="0"/>
              <w:bottom w:val="single" w:color="auto" w:sz="4" w:space="0"/>
              <w:right w:val="single" w:color="auto" w:sz="4" w:space="0"/>
            </w:tcBorders>
          </w:tcPr>
          <w:p w14:paraId="53CB1EF1">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326EF29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655D9266">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0E35B0AD">
            <w:pPr>
              <w:tabs>
                <w:tab w:val="left" w:pos="1848"/>
              </w:tabs>
              <w:spacing w:line="276" w:lineRule="auto"/>
              <w:rPr>
                <w:rFonts w:cs="Arial"/>
                <w:sz w:val="22"/>
              </w:rPr>
            </w:pPr>
          </w:p>
          <w:p w14:paraId="51C64372">
            <w:pPr>
              <w:tabs>
                <w:tab w:val="left" w:pos="1848"/>
              </w:tabs>
              <w:spacing w:line="276" w:lineRule="auto"/>
              <w:rPr>
                <w:rFonts w:cs="Arial"/>
                <w:sz w:val="22"/>
              </w:rPr>
            </w:pPr>
            <w:r>
              <w:rPr>
                <w:rFonts w:cs="Arial"/>
                <w:sz w:val="22"/>
              </w:rPr>
              <w:t>xx</w:t>
            </w:r>
          </w:p>
        </w:tc>
      </w:tr>
      <w:tr w14:paraId="2CC9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17B27BDB">
            <w:pPr>
              <w:spacing w:line="276" w:lineRule="auto"/>
              <w:rPr>
                <w:rFonts w:cs="Arial"/>
                <w:sz w:val="22"/>
              </w:rPr>
            </w:pPr>
            <w:r>
              <w:rPr>
                <w:rFonts w:cs="Arial"/>
                <w:sz w:val="22"/>
              </w:rPr>
              <w:t>112</w:t>
            </w:r>
          </w:p>
        </w:tc>
        <w:tc>
          <w:tcPr>
            <w:tcW w:w="3330" w:type="dxa"/>
            <w:tcBorders>
              <w:top w:val="single" w:color="auto" w:sz="4" w:space="0"/>
              <w:left w:val="single" w:color="auto" w:sz="4" w:space="0"/>
              <w:bottom w:val="single" w:color="auto" w:sz="4" w:space="0"/>
              <w:right w:val="single" w:color="auto" w:sz="4" w:space="0"/>
            </w:tcBorders>
          </w:tcPr>
          <w:p w14:paraId="354635E9">
            <w:pPr>
              <w:spacing w:line="276" w:lineRule="auto"/>
              <w:ind w:firstLine="0"/>
              <w:jc w:val="left"/>
              <w:rPr>
                <w:rFonts w:cs="Arial"/>
                <w:sz w:val="22"/>
                <w:lang w:val="ro-RO"/>
              </w:rPr>
            </w:pPr>
            <w:r>
              <w:rPr>
                <w:rFonts w:cs="Arial"/>
                <w:iCs/>
                <w:color w:val="000000" w:themeColor="text1"/>
                <w:sz w:val="22"/>
                <w:lang w:val="ro-RO"/>
                <w14:textFill>
                  <w14:solidFill>
                    <w14:schemeClr w14:val="tx1"/>
                  </w14:solidFill>
                </w14:textFill>
              </w:rPr>
              <w:t>Infiintarea de piste pentru biciclete și conectarea la traseul Eurovelo 6 Mehedinți – Dolj - Olt</w:t>
            </w:r>
          </w:p>
        </w:tc>
        <w:tc>
          <w:tcPr>
            <w:tcW w:w="2790" w:type="dxa"/>
            <w:tcBorders>
              <w:top w:val="single" w:color="auto" w:sz="4" w:space="0"/>
              <w:left w:val="single" w:color="auto" w:sz="4" w:space="0"/>
              <w:bottom w:val="single" w:color="auto" w:sz="4" w:space="0"/>
              <w:right w:val="single" w:color="auto" w:sz="4" w:space="0"/>
            </w:tcBorders>
          </w:tcPr>
          <w:p w14:paraId="618EEBB5">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Îmbunătățirea mobilității</w:t>
            </w:r>
          </w:p>
        </w:tc>
        <w:tc>
          <w:tcPr>
            <w:tcW w:w="1350" w:type="dxa"/>
            <w:tcBorders>
              <w:top w:val="single" w:color="auto" w:sz="4" w:space="0"/>
              <w:left w:val="single" w:color="auto" w:sz="4" w:space="0"/>
              <w:bottom w:val="single" w:color="auto" w:sz="4" w:space="0"/>
              <w:right w:val="single" w:color="auto" w:sz="4" w:space="0"/>
            </w:tcBorders>
          </w:tcPr>
          <w:p w14:paraId="22534DFB">
            <w:pPr>
              <w:tabs>
                <w:tab w:val="left" w:pos="1848"/>
              </w:tabs>
              <w:spacing w:line="276" w:lineRule="auto"/>
              <w:ind w:firstLine="0"/>
              <w:jc w:val="left"/>
              <w:rPr>
                <w:rFonts w:cs="Arial"/>
                <w:sz w:val="22"/>
                <w:lang w:val="ro-RO"/>
              </w:rPr>
            </w:pPr>
            <w:r>
              <w:rPr>
                <w:rFonts w:cs="Arial"/>
                <w:sz w:val="22"/>
                <w:lang w:val="ro-RO"/>
              </w:rPr>
              <w:t>Finantari nerambursabile externe</w:t>
            </w:r>
          </w:p>
          <w:p w14:paraId="70E35FB0">
            <w:pPr>
              <w:tabs>
                <w:tab w:val="left" w:pos="1848"/>
              </w:tabs>
              <w:spacing w:line="276" w:lineRule="auto"/>
              <w:ind w:firstLine="0"/>
              <w:jc w:val="left"/>
              <w:rPr>
                <w:rFonts w:cs="Arial"/>
                <w:sz w:val="22"/>
                <w:lang w:val="ro-RO"/>
              </w:rPr>
            </w:pPr>
            <w:r>
              <w:rPr>
                <w:rFonts w:cs="Arial"/>
                <w:sz w:val="22"/>
                <w:lang w:val="ro-RO"/>
              </w:rPr>
              <w:t>Fonduri guvernamentale</w:t>
            </w:r>
          </w:p>
          <w:p w14:paraId="42F56435">
            <w:pPr>
              <w:tabs>
                <w:tab w:val="left" w:pos="1848"/>
              </w:tabs>
              <w:spacing w:line="276" w:lineRule="auto"/>
              <w:ind w:firstLine="0"/>
              <w:jc w:val="left"/>
              <w:rPr>
                <w:rFonts w:cs="Arial"/>
                <w:sz w:val="22"/>
                <w:lang w:val="ro-RO"/>
              </w:rPr>
            </w:pPr>
            <w:r>
              <w:rPr>
                <w:rFonts w:cs="Arial"/>
                <w:sz w:val="22"/>
                <w:lang w:val="ro-RO"/>
              </w:rPr>
              <w:t>Alte surse</w:t>
            </w:r>
          </w:p>
        </w:tc>
        <w:tc>
          <w:tcPr>
            <w:tcW w:w="1170" w:type="dxa"/>
            <w:tcBorders>
              <w:top w:val="single" w:color="auto" w:sz="4" w:space="0"/>
              <w:left w:val="single" w:color="auto" w:sz="4" w:space="0"/>
              <w:bottom w:val="single" w:color="auto" w:sz="4" w:space="0"/>
              <w:right w:val="single" w:color="auto" w:sz="4" w:space="0"/>
            </w:tcBorders>
          </w:tcPr>
          <w:p w14:paraId="5B121CD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60E97145">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76AB45FF">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23A930FD">
            <w:pPr>
              <w:tabs>
                <w:tab w:val="left" w:pos="1848"/>
              </w:tabs>
              <w:spacing w:line="276" w:lineRule="auto"/>
              <w:rPr>
                <w:rFonts w:cs="Arial"/>
                <w:sz w:val="22"/>
              </w:rPr>
            </w:pPr>
            <w:r>
              <w:rPr>
                <w:rFonts w:cs="Arial"/>
                <w:sz w:val="22"/>
              </w:rPr>
              <w:t>xx</w:t>
            </w:r>
          </w:p>
        </w:tc>
      </w:tr>
      <w:tr w14:paraId="139D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4390F720">
            <w:pPr>
              <w:spacing w:line="276" w:lineRule="auto"/>
              <w:rPr>
                <w:rFonts w:cs="Arial"/>
                <w:sz w:val="22"/>
              </w:rPr>
            </w:pPr>
            <w:r>
              <w:rPr>
                <w:rFonts w:cs="Arial"/>
                <w:sz w:val="22"/>
              </w:rPr>
              <w:t>113</w:t>
            </w:r>
          </w:p>
        </w:tc>
        <w:tc>
          <w:tcPr>
            <w:tcW w:w="3330" w:type="dxa"/>
            <w:tcBorders>
              <w:top w:val="single" w:color="auto" w:sz="4" w:space="0"/>
              <w:left w:val="single" w:color="auto" w:sz="4" w:space="0"/>
              <w:bottom w:val="single" w:color="auto" w:sz="4" w:space="0"/>
              <w:right w:val="single" w:color="auto" w:sz="4" w:space="0"/>
            </w:tcBorders>
          </w:tcPr>
          <w:p w14:paraId="2B655A19">
            <w:pPr>
              <w:spacing w:line="276" w:lineRule="auto"/>
              <w:ind w:firstLine="0"/>
              <w:jc w:val="left"/>
              <w:rPr>
                <w:rFonts w:cs="Arial"/>
                <w:sz w:val="22"/>
                <w:lang w:val="ro-RO"/>
              </w:rPr>
            </w:pPr>
            <w:r>
              <w:rPr>
                <w:rFonts w:cs="Arial"/>
                <w:iCs/>
                <w:color w:val="000000" w:themeColor="text1"/>
                <w:sz w:val="22"/>
                <w:lang w:val="ro-RO"/>
                <w14:textFill>
                  <w14:solidFill>
                    <w14:schemeClr w14:val="tx1"/>
                  </w14:solidFill>
                </w14:textFill>
              </w:rPr>
              <w:t>Construirea de traversări ale căii ferate pe raza comunei Șimian</w:t>
            </w:r>
          </w:p>
        </w:tc>
        <w:tc>
          <w:tcPr>
            <w:tcW w:w="2790" w:type="dxa"/>
            <w:tcBorders>
              <w:top w:val="single" w:color="auto" w:sz="4" w:space="0"/>
              <w:left w:val="single" w:color="auto" w:sz="4" w:space="0"/>
              <w:bottom w:val="single" w:color="auto" w:sz="4" w:space="0"/>
              <w:right w:val="single" w:color="auto" w:sz="4" w:space="0"/>
            </w:tcBorders>
          </w:tcPr>
          <w:p w14:paraId="6A3E31E5">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Îmbunătățirea mobilității</w:t>
            </w:r>
          </w:p>
        </w:tc>
        <w:tc>
          <w:tcPr>
            <w:tcW w:w="1350" w:type="dxa"/>
            <w:tcBorders>
              <w:top w:val="single" w:color="auto" w:sz="4" w:space="0"/>
              <w:left w:val="single" w:color="auto" w:sz="4" w:space="0"/>
              <w:bottom w:val="single" w:color="auto" w:sz="4" w:space="0"/>
              <w:right w:val="single" w:color="auto" w:sz="4" w:space="0"/>
            </w:tcBorders>
          </w:tcPr>
          <w:p w14:paraId="55448F32">
            <w:pPr>
              <w:tabs>
                <w:tab w:val="left" w:pos="1848"/>
              </w:tabs>
              <w:spacing w:line="276" w:lineRule="auto"/>
              <w:ind w:firstLine="0"/>
              <w:jc w:val="left"/>
              <w:rPr>
                <w:rFonts w:cs="Arial"/>
                <w:sz w:val="22"/>
                <w:lang w:val="ro-RO"/>
              </w:rPr>
            </w:pPr>
            <w:r>
              <w:rPr>
                <w:rFonts w:cs="Arial"/>
                <w:sz w:val="22"/>
                <w:lang w:val="ro-RO"/>
              </w:rPr>
              <w:t>Finantari nerambursabile externe</w:t>
            </w:r>
          </w:p>
          <w:p w14:paraId="42365797">
            <w:pPr>
              <w:tabs>
                <w:tab w:val="left" w:pos="1848"/>
              </w:tabs>
              <w:spacing w:line="276" w:lineRule="auto"/>
              <w:ind w:firstLine="0"/>
              <w:jc w:val="left"/>
              <w:rPr>
                <w:rFonts w:cs="Arial"/>
                <w:sz w:val="22"/>
                <w:lang w:val="ro-RO"/>
              </w:rPr>
            </w:pPr>
            <w:r>
              <w:rPr>
                <w:rFonts w:cs="Arial"/>
                <w:sz w:val="22"/>
                <w:lang w:val="ro-RO"/>
              </w:rPr>
              <w:t>Fonduri guvernamentale</w:t>
            </w:r>
          </w:p>
          <w:p w14:paraId="6F0CFC99">
            <w:pPr>
              <w:tabs>
                <w:tab w:val="left" w:pos="1848"/>
              </w:tabs>
              <w:spacing w:line="276" w:lineRule="auto"/>
              <w:ind w:firstLine="0"/>
              <w:jc w:val="left"/>
              <w:rPr>
                <w:rFonts w:cs="Arial"/>
                <w:sz w:val="22"/>
                <w:lang w:val="ro-RO"/>
              </w:rPr>
            </w:pPr>
            <w:r>
              <w:rPr>
                <w:rFonts w:cs="Arial"/>
                <w:sz w:val="22"/>
                <w:lang w:val="ro-RO"/>
              </w:rPr>
              <w:t>Alte surse</w:t>
            </w:r>
          </w:p>
        </w:tc>
        <w:tc>
          <w:tcPr>
            <w:tcW w:w="1170" w:type="dxa"/>
            <w:tcBorders>
              <w:top w:val="single" w:color="auto" w:sz="4" w:space="0"/>
              <w:left w:val="single" w:color="auto" w:sz="4" w:space="0"/>
              <w:bottom w:val="single" w:color="auto" w:sz="4" w:space="0"/>
              <w:right w:val="single" w:color="auto" w:sz="4" w:space="0"/>
            </w:tcBorders>
          </w:tcPr>
          <w:p w14:paraId="604374B0">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16E06E90">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Borders>
              <w:top w:val="single" w:color="auto" w:sz="4" w:space="0"/>
              <w:left w:val="single" w:color="auto" w:sz="4" w:space="0"/>
              <w:bottom w:val="single" w:color="auto" w:sz="4" w:space="0"/>
              <w:right w:val="single" w:color="auto" w:sz="4" w:space="0"/>
            </w:tcBorders>
          </w:tcPr>
          <w:p w14:paraId="3AFE4FFF">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494FC0A1">
            <w:pPr>
              <w:tabs>
                <w:tab w:val="left" w:pos="1848"/>
              </w:tabs>
              <w:spacing w:line="276" w:lineRule="auto"/>
              <w:rPr>
                <w:rFonts w:cs="Arial"/>
                <w:sz w:val="22"/>
              </w:rPr>
            </w:pPr>
            <w:r>
              <w:rPr>
                <w:rFonts w:cs="Arial"/>
                <w:sz w:val="22"/>
              </w:rPr>
              <w:t>xx</w:t>
            </w:r>
          </w:p>
        </w:tc>
      </w:tr>
      <w:tr w14:paraId="5C92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2D1E99FB">
            <w:pPr>
              <w:spacing w:line="276" w:lineRule="auto"/>
              <w:rPr>
                <w:rFonts w:cs="Arial"/>
                <w:sz w:val="22"/>
              </w:rPr>
            </w:pPr>
            <w:r>
              <w:rPr>
                <w:rFonts w:cs="Arial"/>
                <w:sz w:val="22"/>
              </w:rPr>
              <w:t>114</w:t>
            </w:r>
          </w:p>
        </w:tc>
        <w:tc>
          <w:tcPr>
            <w:tcW w:w="3330" w:type="dxa"/>
            <w:tcBorders>
              <w:top w:val="single" w:color="auto" w:sz="4" w:space="0"/>
              <w:left w:val="single" w:color="auto" w:sz="4" w:space="0"/>
              <w:bottom w:val="single" w:color="auto" w:sz="4" w:space="0"/>
              <w:right w:val="single" w:color="auto" w:sz="4" w:space="0"/>
            </w:tcBorders>
          </w:tcPr>
          <w:p w14:paraId="0A05F686">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Retea canalizare si statie de epurare in sat Simian ,com Simian</w:t>
            </w:r>
          </w:p>
        </w:tc>
        <w:tc>
          <w:tcPr>
            <w:tcW w:w="2790" w:type="dxa"/>
            <w:tcBorders>
              <w:top w:val="single" w:color="auto" w:sz="4" w:space="0"/>
              <w:left w:val="single" w:color="auto" w:sz="4" w:space="0"/>
              <w:bottom w:val="single" w:color="auto" w:sz="4" w:space="0"/>
              <w:right w:val="single" w:color="auto" w:sz="4" w:space="0"/>
            </w:tcBorders>
          </w:tcPr>
          <w:p w14:paraId="21CF18F8">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retea canalizare</w:t>
            </w:r>
          </w:p>
        </w:tc>
        <w:tc>
          <w:tcPr>
            <w:tcW w:w="1350" w:type="dxa"/>
            <w:tcBorders>
              <w:top w:val="single" w:color="auto" w:sz="4" w:space="0"/>
              <w:left w:val="single" w:color="auto" w:sz="4" w:space="0"/>
              <w:bottom w:val="single" w:color="auto" w:sz="4" w:space="0"/>
              <w:right w:val="single" w:color="auto" w:sz="4" w:space="0"/>
            </w:tcBorders>
          </w:tcPr>
          <w:p w14:paraId="20FDB4F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de stat( Anghel Saligny)</w:t>
            </w:r>
          </w:p>
        </w:tc>
        <w:tc>
          <w:tcPr>
            <w:tcW w:w="1170" w:type="dxa"/>
            <w:tcBorders>
              <w:top w:val="single" w:color="auto" w:sz="4" w:space="0"/>
              <w:left w:val="single" w:color="auto" w:sz="4" w:space="0"/>
              <w:bottom w:val="single" w:color="auto" w:sz="4" w:space="0"/>
              <w:right w:val="single" w:color="auto" w:sz="4" w:space="0"/>
            </w:tcBorders>
          </w:tcPr>
          <w:p w14:paraId="40143D8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638916B1">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2026</w:t>
            </w:r>
          </w:p>
        </w:tc>
        <w:tc>
          <w:tcPr>
            <w:tcW w:w="684" w:type="dxa"/>
            <w:tcBorders>
              <w:top w:val="single" w:color="auto" w:sz="4" w:space="0"/>
              <w:left w:val="single" w:color="auto" w:sz="4" w:space="0"/>
              <w:bottom w:val="single" w:color="auto" w:sz="4" w:space="0"/>
              <w:right w:val="single" w:color="auto" w:sz="4" w:space="0"/>
            </w:tcBorders>
          </w:tcPr>
          <w:p w14:paraId="1D387C6A">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1B09A881">
            <w:pPr>
              <w:tabs>
                <w:tab w:val="left" w:pos="1848"/>
              </w:tabs>
              <w:spacing w:line="276" w:lineRule="auto"/>
              <w:rPr>
                <w:rFonts w:cs="Arial"/>
                <w:sz w:val="22"/>
              </w:rPr>
            </w:pPr>
            <w:r>
              <w:rPr>
                <w:rFonts w:cs="Arial"/>
                <w:sz w:val="22"/>
              </w:rPr>
              <w:t>xx</w:t>
            </w:r>
          </w:p>
        </w:tc>
      </w:tr>
      <w:tr w14:paraId="3780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6DEDC438">
            <w:pPr>
              <w:spacing w:line="276" w:lineRule="auto"/>
              <w:rPr>
                <w:rFonts w:cs="Arial"/>
                <w:sz w:val="22"/>
              </w:rPr>
            </w:pPr>
            <w:r>
              <w:rPr>
                <w:rFonts w:cs="Arial"/>
                <w:sz w:val="22"/>
              </w:rPr>
              <w:t>115</w:t>
            </w:r>
          </w:p>
        </w:tc>
        <w:tc>
          <w:tcPr>
            <w:tcW w:w="3330" w:type="dxa"/>
            <w:tcBorders>
              <w:top w:val="single" w:color="auto" w:sz="4" w:space="0"/>
              <w:left w:val="single" w:color="auto" w:sz="4" w:space="0"/>
              <w:bottom w:val="single" w:color="auto" w:sz="4" w:space="0"/>
              <w:right w:val="single" w:color="auto" w:sz="4" w:space="0"/>
            </w:tcBorders>
          </w:tcPr>
          <w:p w14:paraId="558D8729">
            <w:pPr>
              <w:spacing w:line="276" w:lineRule="auto"/>
              <w:ind w:firstLine="0"/>
              <w:jc w:val="left"/>
              <w:rPr>
                <w:rFonts w:cs="Arial"/>
                <w:iCs/>
                <w:color w:val="000000" w:themeColor="text1"/>
                <w:sz w:val="22"/>
                <w:lang w:val="ro-RO"/>
                <w14:textFill>
                  <w14:solidFill>
                    <w14:schemeClr w14:val="tx1"/>
                  </w14:solidFill>
                </w14:textFill>
              </w:rPr>
            </w:pPr>
            <w:r>
              <w:rPr>
                <w:rFonts w:cs="Arial"/>
                <w:sz w:val="22"/>
              </w:rPr>
              <w:t>Extindere rețele de apă și canalizare menajeră în Satele Șimian, Cerneți și Dedovița Nouă, Comuna Șimian, Județul Mehedinți</w:t>
            </w:r>
          </w:p>
        </w:tc>
        <w:tc>
          <w:tcPr>
            <w:tcW w:w="2790" w:type="dxa"/>
            <w:tcBorders>
              <w:top w:val="single" w:color="auto" w:sz="4" w:space="0"/>
              <w:left w:val="single" w:color="auto" w:sz="4" w:space="0"/>
              <w:bottom w:val="single" w:color="auto" w:sz="4" w:space="0"/>
              <w:right w:val="single" w:color="auto" w:sz="4" w:space="0"/>
            </w:tcBorders>
          </w:tcPr>
          <w:p w14:paraId="5D85669B">
            <w:pPr>
              <w:tabs>
                <w:tab w:val="left" w:pos="1848"/>
              </w:tabs>
              <w:spacing w:line="276" w:lineRule="auto"/>
              <w:ind w:firstLine="0"/>
              <w:jc w:val="left"/>
              <w:rPr>
                <w:rFonts w:cs="Arial"/>
                <w:sz w:val="22"/>
              </w:rPr>
            </w:pPr>
            <w:r>
              <w:rPr>
                <w:rFonts w:cs="Arial"/>
                <w:sz w:val="22"/>
              </w:rPr>
              <w:t>Asigurarea accesului durabil la servicii de apă potabilă și canalizare menajeră pentru populația din zonele neacoperite</w:t>
            </w:r>
          </w:p>
          <w:p w14:paraId="61BE334E">
            <w:pPr>
              <w:tabs>
                <w:tab w:val="left" w:pos="1848"/>
              </w:tabs>
              <w:spacing w:line="276" w:lineRule="auto"/>
              <w:ind w:firstLine="0"/>
              <w:jc w:val="left"/>
              <w:rPr>
                <w:rFonts w:cs="Arial"/>
                <w:sz w:val="22"/>
              </w:rPr>
            </w:pPr>
            <w:r>
              <w:rPr>
                <w:rFonts w:cs="Arial"/>
                <w:sz w:val="22"/>
              </w:rPr>
              <w:t>Îmbunătățirea condițiilor de viață și de sănătate publică, prin dezvoltarea infrastructurii de apă și canal</w:t>
            </w:r>
          </w:p>
          <w:p w14:paraId="58C31FDC">
            <w:pPr>
              <w:tabs>
                <w:tab w:val="left" w:pos="1848"/>
              </w:tabs>
              <w:spacing w:line="276" w:lineRule="auto"/>
              <w:ind w:firstLine="0"/>
              <w:jc w:val="left"/>
              <w:rPr>
                <w:rFonts w:cs="Arial"/>
                <w:sz w:val="22"/>
              </w:rPr>
            </w:pPr>
            <w:r>
              <w:rPr>
                <w:rFonts w:cs="Arial"/>
                <w:sz w:val="22"/>
              </w:rPr>
              <w:t>Protejarea resurselor de apă și a mediului, prin colectarea și tratarea adecvată a apelor uzate</w:t>
            </w:r>
          </w:p>
          <w:p w14:paraId="50AA23AC">
            <w:pPr>
              <w:tabs>
                <w:tab w:val="left" w:pos="1848"/>
              </w:tabs>
              <w:spacing w:line="276" w:lineRule="auto"/>
              <w:ind w:firstLine="0"/>
              <w:jc w:val="left"/>
              <w:rPr>
                <w:rFonts w:cs="Arial"/>
                <w:sz w:val="22"/>
              </w:rPr>
            </w:pPr>
            <w:r>
              <w:rPr>
                <w:rFonts w:cs="Arial"/>
                <w:sz w:val="22"/>
              </w:rPr>
              <w:t>Conformarea cu directivele europene și legislația națională în domeniul apei și apelor uzate</w:t>
            </w:r>
          </w:p>
          <w:p w14:paraId="2A2754C7">
            <w:pPr>
              <w:ind w:firstLine="0"/>
              <w:jc w:val="left"/>
              <w:rPr>
                <w:rFonts w:cs="Arial"/>
                <w:sz w:val="22"/>
              </w:rPr>
            </w:pPr>
            <w:r>
              <w:rPr>
                <w:rFonts w:cs="Arial"/>
                <w:sz w:val="22"/>
              </w:rPr>
              <w:t>Reducerea disparităților dintre mediul urban și rural în ceea ce privește serviciile de utilități publice.</w:t>
            </w:r>
          </w:p>
          <w:p w14:paraId="41EC2139">
            <w:pPr>
              <w:ind w:firstLine="0"/>
              <w:jc w:val="left"/>
              <w:rPr>
                <w:rFonts w:cs="Arial"/>
                <w:b/>
                <w:bCs/>
                <w:sz w:val="22"/>
              </w:rPr>
            </w:pPr>
            <w:r>
              <w:rPr>
                <w:rFonts w:cs="Arial"/>
                <w:b/>
                <w:bCs/>
                <w:sz w:val="22"/>
              </w:rPr>
              <w:t>Activități</w:t>
            </w:r>
          </w:p>
          <w:p w14:paraId="1AC353C3">
            <w:pPr>
              <w:tabs>
                <w:tab w:val="left" w:pos="1848"/>
              </w:tabs>
              <w:spacing w:line="276" w:lineRule="auto"/>
              <w:ind w:firstLine="0"/>
              <w:jc w:val="left"/>
              <w:rPr>
                <w:rFonts w:cs="Arial"/>
                <w:sz w:val="22"/>
              </w:rPr>
            </w:pPr>
            <w:r>
              <w:rPr>
                <w:rFonts w:cs="Arial"/>
                <w:sz w:val="22"/>
              </w:rPr>
              <w:t>Studii preliminare și documentație</w:t>
            </w:r>
          </w:p>
          <w:p w14:paraId="52712154">
            <w:pPr>
              <w:tabs>
                <w:tab w:val="left" w:pos="1848"/>
              </w:tabs>
              <w:spacing w:line="276" w:lineRule="auto"/>
              <w:ind w:firstLine="0"/>
              <w:jc w:val="left"/>
              <w:rPr>
                <w:rFonts w:cs="Arial"/>
                <w:sz w:val="22"/>
              </w:rPr>
            </w:pPr>
            <w:r>
              <w:rPr>
                <w:rFonts w:cs="Arial"/>
                <w:sz w:val="22"/>
              </w:rPr>
              <w:t>Trasarea traseului conductelor de apă potabilă.</w:t>
            </w:r>
          </w:p>
          <w:p w14:paraId="591863EA">
            <w:pPr>
              <w:tabs>
                <w:tab w:val="left" w:pos="1848"/>
              </w:tabs>
              <w:spacing w:line="276" w:lineRule="auto"/>
              <w:ind w:firstLine="0"/>
              <w:jc w:val="left"/>
              <w:rPr>
                <w:rFonts w:cs="Arial"/>
                <w:sz w:val="22"/>
              </w:rPr>
            </w:pPr>
            <w:r>
              <w:rPr>
                <w:rFonts w:cs="Arial"/>
                <w:sz w:val="22"/>
              </w:rPr>
              <w:t>Montarea conductelor de aducțiune și distribuție</w:t>
            </w:r>
          </w:p>
          <w:p w14:paraId="17BDDE07">
            <w:pPr>
              <w:tabs>
                <w:tab w:val="left" w:pos="1848"/>
              </w:tabs>
              <w:spacing w:line="276" w:lineRule="auto"/>
              <w:ind w:firstLine="0"/>
              <w:jc w:val="left"/>
              <w:rPr>
                <w:rFonts w:cs="Arial"/>
                <w:sz w:val="22"/>
              </w:rPr>
            </w:pPr>
            <w:r>
              <w:rPr>
                <w:rFonts w:cs="Arial"/>
                <w:sz w:val="22"/>
              </w:rPr>
              <w:t>Construirea rezervoarelor de apă (unde este necesar).</w:t>
            </w:r>
          </w:p>
          <w:p w14:paraId="69FB7A19">
            <w:pPr>
              <w:tabs>
                <w:tab w:val="left" w:pos="1848"/>
              </w:tabs>
              <w:spacing w:line="276" w:lineRule="auto"/>
              <w:ind w:firstLine="0"/>
              <w:jc w:val="left"/>
              <w:rPr>
                <w:rFonts w:cs="Arial"/>
                <w:sz w:val="22"/>
              </w:rPr>
            </w:pPr>
            <w:r>
              <w:rPr>
                <w:rFonts w:cs="Arial"/>
                <w:sz w:val="22"/>
              </w:rPr>
              <w:t>Instalarea stațiilor de pompare, dacă presiunea necesită creștere.</w:t>
            </w:r>
          </w:p>
          <w:p w14:paraId="3187229C">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sz w:val="22"/>
              </w:rPr>
              <w:t>Tratarea apelor uzate</w:t>
            </w:r>
          </w:p>
        </w:tc>
        <w:tc>
          <w:tcPr>
            <w:tcW w:w="1350" w:type="dxa"/>
            <w:tcBorders>
              <w:top w:val="single" w:color="auto" w:sz="4" w:space="0"/>
              <w:left w:val="single" w:color="auto" w:sz="4" w:space="0"/>
              <w:bottom w:val="single" w:color="auto" w:sz="4" w:space="0"/>
              <w:right w:val="single" w:color="auto" w:sz="4" w:space="0"/>
            </w:tcBorders>
          </w:tcPr>
          <w:p w14:paraId="28479809">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sz w:val="22"/>
              </w:rPr>
              <w:t>Programul Național Pentru Redresare și Reziliență</w:t>
            </w:r>
          </w:p>
        </w:tc>
        <w:tc>
          <w:tcPr>
            <w:tcW w:w="1170" w:type="dxa"/>
            <w:tcBorders>
              <w:top w:val="single" w:color="auto" w:sz="4" w:space="0"/>
              <w:left w:val="single" w:color="auto" w:sz="4" w:space="0"/>
              <w:bottom w:val="single" w:color="auto" w:sz="4" w:space="0"/>
              <w:right w:val="single" w:color="auto" w:sz="4" w:space="0"/>
            </w:tcBorders>
          </w:tcPr>
          <w:p w14:paraId="6FBF8873">
            <w:pPr>
              <w:tabs>
                <w:tab w:val="left" w:pos="1848"/>
              </w:tabs>
              <w:spacing w:line="276" w:lineRule="auto"/>
              <w:ind w:firstLine="0"/>
              <w:rPr>
                <w:rFonts w:cs="Arial"/>
                <w:sz w:val="22"/>
              </w:rPr>
            </w:pPr>
            <w:r>
              <w:rPr>
                <w:rFonts w:cs="Arial"/>
                <w:sz w:val="22"/>
              </w:rPr>
              <w:t>În implementare-</w:t>
            </w:r>
          </w:p>
          <w:p w14:paraId="21E28869">
            <w:pPr>
              <w:tabs>
                <w:tab w:val="left" w:pos="1848"/>
              </w:tabs>
              <w:spacing w:line="276" w:lineRule="auto"/>
              <w:ind w:firstLine="0"/>
              <w:rPr>
                <w:rFonts w:cs="Arial"/>
                <w:sz w:val="22"/>
              </w:rPr>
            </w:pPr>
            <w:r>
              <w:rPr>
                <w:rFonts w:cs="Arial"/>
                <w:sz w:val="22"/>
              </w:rPr>
              <w:t>Nr. contract</w:t>
            </w:r>
          </w:p>
          <w:p w14:paraId="5DA0512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sz w:val="22"/>
              </w:rPr>
              <w:t>C1I100122000107</w:t>
            </w:r>
          </w:p>
        </w:tc>
        <w:tc>
          <w:tcPr>
            <w:tcW w:w="1026" w:type="dxa"/>
            <w:tcBorders>
              <w:top w:val="single" w:color="auto" w:sz="4" w:space="0"/>
              <w:left w:val="single" w:color="auto" w:sz="4" w:space="0"/>
              <w:bottom w:val="single" w:color="auto" w:sz="4" w:space="0"/>
              <w:right w:val="single" w:color="auto" w:sz="4" w:space="0"/>
            </w:tcBorders>
          </w:tcPr>
          <w:p w14:paraId="6A574F97">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sz w:val="22"/>
              </w:rPr>
              <w:t>30.06.2026</w:t>
            </w:r>
          </w:p>
        </w:tc>
        <w:tc>
          <w:tcPr>
            <w:tcW w:w="684" w:type="dxa"/>
            <w:tcBorders>
              <w:top w:val="single" w:color="auto" w:sz="4" w:space="0"/>
              <w:left w:val="single" w:color="auto" w:sz="4" w:space="0"/>
              <w:bottom w:val="single" w:color="auto" w:sz="4" w:space="0"/>
              <w:right w:val="single" w:color="auto" w:sz="4" w:space="0"/>
            </w:tcBorders>
          </w:tcPr>
          <w:p w14:paraId="329533B1">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20ECCCFE">
            <w:pPr>
              <w:tabs>
                <w:tab w:val="left" w:pos="1848"/>
              </w:tabs>
              <w:spacing w:line="276" w:lineRule="auto"/>
              <w:rPr>
                <w:rFonts w:cs="Arial"/>
                <w:sz w:val="22"/>
              </w:rPr>
            </w:pPr>
            <w:r>
              <w:rPr>
                <w:rFonts w:cs="Arial"/>
                <w:sz w:val="22"/>
              </w:rPr>
              <w:t>xx</w:t>
            </w:r>
          </w:p>
        </w:tc>
      </w:tr>
      <w:tr w14:paraId="6556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59479ECE">
            <w:pPr>
              <w:spacing w:line="276" w:lineRule="auto"/>
              <w:rPr>
                <w:rFonts w:cs="Arial"/>
                <w:sz w:val="22"/>
              </w:rPr>
            </w:pPr>
            <w:r>
              <w:rPr>
                <w:rFonts w:cs="Arial"/>
                <w:sz w:val="22"/>
              </w:rPr>
              <w:t>116</w:t>
            </w:r>
          </w:p>
        </w:tc>
        <w:tc>
          <w:tcPr>
            <w:tcW w:w="3330" w:type="dxa"/>
            <w:tcBorders>
              <w:top w:val="single" w:color="auto" w:sz="4" w:space="0"/>
              <w:left w:val="single" w:color="auto" w:sz="4" w:space="0"/>
              <w:bottom w:val="single" w:color="auto" w:sz="4" w:space="0"/>
              <w:right w:val="single" w:color="auto" w:sz="4" w:space="0"/>
            </w:tcBorders>
          </w:tcPr>
          <w:p w14:paraId="2BA43741">
            <w:pPr>
              <w:spacing w:line="276" w:lineRule="auto"/>
              <w:ind w:firstLine="0"/>
              <w:jc w:val="left"/>
              <w:rPr>
                <w:rFonts w:cs="Arial"/>
                <w:iCs/>
                <w:color w:val="000000" w:themeColor="text1"/>
                <w:sz w:val="22"/>
                <w:lang w:val="ro-RO"/>
                <w14:textFill>
                  <w14:solidFill>
                    <w14:schemeClr w14:val="tx1"/>
                  </w14:solidFill>
                </w14:textFill>
              </w:rPr>
            </w:pPr>
            <w:r>
              <w:rPr>
                <w:rFonts w:cs="Arial"/>
                <w:sz w:val="22"/>
              </w:rPr>
              <w:t>Înființare sistem inteligent de distribuție a gazelor naturale -Comuna Șimian Județul Mehedinți - Satele Șimian, Cerneți și Dedovița Nouă (etapa 1)</w:t>
            </w:r>
          </w:p>
        </w:tc>
        <w:tc>
          <w:tcPr>
            <w:tcW w:w="2790" w:type="dxa"/>
            <w:tcBorders>
              <w:top w:val="single" w:color="auto" w:sz="4" w:space="0"/>
              <w:left w:val="single" w:color="auto" w:sz="4" w:space="0"/>
              <w:bottom w:val="single" w:color="auto" w:sz="4" w:space="0"/>
              <w:right w:val="single" w:color="auto" w:sz="4" w:space="0"/>
            </w:tcBorders>
          </w:tcPr>
          <w:p w14:paraId="55230CDD">
            <w:pPr>
              <w:tabs>
                <w:tab w:val="left" w:pos="1848"/>
              </w:tabs>
              <w:spacing w:line="276" w:lineRule="auto"/>
              <w:ind w:firstLine="0"/>
              <w:jc w:val="left"/>
              <w:rPr>
                <w:rFonts w:cs="Arial"/>
                <w:i/>
                <w:iCs/>
                <w:sz w:val="22"/>
              </w:rPr>
            </w:pPr>
            <w:r>
              <w:rPr>
                <w:rFonts w:cs="Arial"/>
                <w:i/>
                <w:iCs/>
                <w:sz w:val="22"/>
              </w:rPr>
              <w:t xml:space="preserve">Construirea și eficientizarea rețelei de distribuție a gazelor naturale prin utilizarea tehnologiilor inteligente. </w:t>
            </w:r>
          </w:p>
          <w:p w14:paraId="3CB16F06">
            <w:pPr>
              <w:spacing w:line="276" w:lineRule="auto"/>
              <w:ind w:firstLine="0"/>
              <w:jc w:val="left"/>
              <w:rPr>
                <w:rFonts w:cs="Arial"/>
                <w:i/>
                <w:iCs/>
                <w:sz w:val="22"/>
              </w:rPr>
            </w:pPr>
            <w:r>
              <w:rPr>
                <w:rFonts w:cs="Arial"/>
                <w:i/>
                <w:iCs/>
                <w:sz w:val="22"/>
              </w:rPr>
              <w:t>Implementarea unui sistem de mentenanță predictivă bazat pe date.</w:t>
            </w:r>
          </w:p>
          <w:p w14:paraId="7DFD12DE">
            <w:pPr>
              <w:tabs>
                <w:tab w:val="left" w:pos="1848"/>
              </w:tabs>
              <w:spacing w:line="276" w:lineRule="auto"/>
              <w:ind w:firstLine="0"/>
              <w:jc w:val="left"/>
              <w:rPr>
                <w:rFonts w:cs="Arial"/>
                <w:i/>
                <w:iCs/>
                <w:sz w:val="22"/>
              </w:rPr>
            </w:pPr>
            <w:r>
              <w:rPr>
                <w:rFonts w:cs="Arial"/>
                <w:i/>
                <w:iCs/>
                <w:sz w:val="22"/>
              </w:rPr>
              <w:t>Planificare și proiectare tehnică</w:t>
            </w:r>
          </w:p>
          <w:p w14:paraId="70C9B8BF">
            <w:pPr>
              <w:tabs>
                <w:tab w:val="left" w:pos="1848"/>
              </w:tabs>
              <w:spacing w:line="276" w:lineRule="auto"/>
              <w:ind w:firstLine="0"/>
              <w:jc w:val="left"/>
              <w:rPr>
                <w:rFonts w:cs="Arial"/>
                <w:i/>
                <w:iCs/>
                <w:sz w:val="22"/>
              </w:rPr>
            </w:pPr>
            <w:r>
              <w:rPr>
                <w:rFonts w:cs="Arial"/>
                <w:i/>
                <w:iCs/>
                <w:sz w:val="22"/>
              </w:rPr>
              <w:t>Implementarea infrastructurii fizice și digitale</w:t>
            </w:r>
          </w:p>
          <w:p w14:paraId="05C15906">
            <w:pPr>
              <w:tabs>
                <w:tab w:val="left" w:pos="1848"/>
              </w:tabs>
              <w:spacing w:line="276" w:lineRule="auto"/>
              <w:ind w:firstLine="0"/>
              <w:jc w:val="left"/>
              <w:rPr>
                <w:rFonts w:cs="Arial"/>
                <w:i/>
                <w:iCs/>
                <w:sz w:val="22"/>
              </w:rPr>
            </w:pPr>
            <w:r>
              <w:rPr>
                <w:rFonts w:cs="Arial"/>
                <w:i/>
                <w:iCs/>
                <w:sz w:val="22"/>
              </w:rPr>
              <w:t>Sisteme informatice și comunicații</w:t>
            </w:r>
          </w:p>
          <w:p w14:paraId="6580E25D">
            <w:pPr>
              <w:tabs>
                <w:tab w:val="left" w:pos="1848"/>
              </w:tabs>
              <w:spacing w:line="276" w:lineRule="auto"/>
              <w:ind w:firstLine="0"/>
              <w:jc w:val="left"/>
              <w:rPr>
                <w:rFonts w:cs="Arial"/>
                <w:i/>
                <w:iCs/>
                <w:sz w:val="22"/>
              </w:rPr>
            </w:pPr>
            <w:r>
              <w:rPr>
                <w:rFonts w:cs="Arial"/>
                <w:i/>
                <w:iCs/>
                <w:sz w:val="22"/>
              </w:rPr>
              <w:t>Monitorizare și optimizare continuă</w:t>
            </w:r>
          </w:p>
          <w:p w14:paraId="1C7909EA">
            <w:pPr>
              <w:tabs>
                <w:tab w:val="left" w:pos="1848"/>
              </w:tabs>
              <w:spacing w:line="276" w:lineRule="auto"/>
              <w:ind w:firstLine="0"/>
              <w:jc w:val="left"/>
              <w:rPr>
                <w:rFonts w:cs="Arial"/>
                <w:i/>
                <w:iCs/>
                <w:sz w:val="22"/>
              </w:rPr>
            </w:pPr>
            <w:r>
              <w:rPr>
                <w:rFonts w:cs="Arial"/>
                <w:i/>
                <w:iCs/>
                <w:sz w:val="22"/>
              </w:rPr>
              <w:t>Informare și relații cu utilizatorii</w:t>
            </w:r>
          </w:p>
          <w:p w14:paraId="55E8911A">
            <w:pPr>
              <w:tabs>
                <w:tab w:val="left" w:pos="1848"/>
              </w:tabs>
              <w:spacing w:line="276" w:lineRule="auto"/>
              <w:ind w:firstLine="0"/>
              <w:jc w:val="left"/>
              <w:rPr>
                <w:rFonts w:cs="Arial"/>
                <w:iCs/>
                <w:color w:val="000000" w:themeColor="text1"/>
                <w:sz w:val="22"/>
                <w:lang w:val="ro-RO"/>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tcPr>
          <w:p w14:paraId="56138024">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sz w:val="22"/>
              </w:rPr>
              <w:t>Programul Operațional Infrastructură Mare</w:t>
            </w:r>
          </w:p>
        </w:tc>
        <w:tc>
          <w:tcPr>
            <w:tcW w:w="1170" w:type="dxa"/>
            <w:tcBorders>
              <w:top w:val="single" w:color="auto" w:sz="4" w:space="0"/>
              <w:left w:val="single" w:color="auto" w:sz="4" w:space="0"/>
              <w:bottom w:val="single" w:color="auto" w:sz="4" w:space="0"/>
              <w:right w:val="single" w:color="auto" w:sz="4" w:space="0"/>
            </w:tcBorders>
          </w:tcPr>
          <w:p w14:paraId="03B9C3A2">
            <w:pPr>
              <w:tabs>
                <w:tab w:val="left" w:pos="1848"/>
              </w:tabs>
              <w:spacing w:line="276" w:lineRule="auto"/>
              <w:ind w:firstLine="0"/>
              <w:rPr>
                <w:rFonts w:cs="Arial"/>
                <w:sz w:val="22"/>
              </w:rPr>
            </w:pPr>
            <w:r>
              <w:rPr>
                <w:rFonts w:cs="Arial"/>
                <w:sz w:val="22"/>
              </w:rPr>
              <w:t>În implementare-</w:t>
            </w:r>
          </w:p>
          <w:p w14:paraId="4527BBEC">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sz w:val="22"/>
              </w:rPr>
              <w:t>Nr. Contract 540/06.05.2021</w:t>
            </w:r>
          </w:p>
        </w:tc>
        <w:tc>
          <w:tcPr>
            <w:tcW w:w="1026" w:type="dxa"/>
            <w:tcBorders>
              <w:top w:val="single" w:color="auto" w:sz="4" w:space="0"/>
              <w:left w:val="single" w:color="auto" w:sz="4" w:space="0"/>
              <w:bottom w:val="single" w:color="auto" w:sz="4" w:space="0"/>
              <w:right w:val="single" w:color="auto" w:sz="4" w:space="0"/>
            </w:tcBorders>
          </w:tcPr>
          <w:p w14:paraId="01A969E2">
            <w:pPr>
              <w:tabs>
                <w:tab w:val="left" w:pos="1848"/>
              </w:tabs>
              <w:spacing w:line="276" w:lineRule="auto"/>
              <w:ind w:firstLine="0"/>
              <w:rPr>
                <w:rFonts w:cs="Arial"/>
                <w:sz w:val="22"/>
              </w:rPr>
            </w:pPr>
            <w:r>
              <w:rPr>
                <w:rFonts w:cs="Arial"/>
                <w:sz w:val="22"/>
              </w:rPr>
              <w:t>31.12.2025</w:t>
            </w:r>
          </w:p>
          <w:p w14:paraId="20611438">
            <w:pPr>
              <w:tabs>
                <w:tab w:val="left" w:pos="1848"/>
              </w:tabs>
              <w:spacing w:line="276" w:lineRule="auto"/>
              <w:ind w:firstLine="0"/>
              <w:rPr>
                <w:rFonts w:cs="Arial"/>
                <w:color w:val="000000" w:themeColor="text1"/>
                <w:sz w:val="22"/>
                <w:lang w:val="ro-RO"/>
                <w14:textFill>
                  <w14:solidFill>
                    <w14:schemeClr w14:val="tx1"/>
                  </w14:solidFill>
                </w14:textFill>
              </w:rPr>
            </w:pPr>
          </w:p>
        </w:tc>
        <w:tc>
          <w:tcPr>
            <w:tcW w:w="684" w:type="dxa"/>
            <w:tcBorders>
              <w:top w:val="single" w:color="auto" w:sz="4" w:space="0"/>
              <w:left w:val="single" w:color="auto" w:sz="4" w:space="0"/>
              <w:bottom w:val="single" w:color="auto" w:sz="4" w:space="0"/>
              <w:right w:val="single" w:color="auto" w:sz="4" w:space="0"/>
            </w:tcBorders>
          </w:tcPr>
          <w:p w14:paraId="475166C2">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18E00615">
            <w:pPr>
              <w:tabs>
                <w:tab w:val="left" w:pos="1848"/>
              </w:tabs>
              <w:spacing w:line="276" w:lineRule="auto"/>
              <w:rPr>
                <w:rFonts w:cs="Arial"/>
                <w:sz w:val="22"/>
              </w:rPr>
            </w:pPr>
            <w:r>
              <w:rPr>
                <w:rFonts w:cs="Arial"/>
                <w:sz w:val="22"/>
              </w:rPr>
              <w:t>xx</w:t>
            </w:r>
          </w:p>
        </w:tc>
      </w:tr>
      <w:tr w14:paraId="466E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56C61D3C">
            <w:pPr>
              <w:spacing w:line="276" w:lineRule="auto"/>
              <w:rPr>
                <w:rFonts w:cs="Arial"/>
                <w:sz w:val="22"/>
              </w:rPr>
            </w:pPr>
            <w:r>
              <w:rPr>
                <w:rFonts w:cs="Arial"/>
                <w:sz w:val="22"/>
              </w:rPr>
              <w:t>117</w:t>
            </w:r>
          </w:p>
        </w:tc>
        <w:tc>
          <w:tcPr>
            <w:tcW w:w="3330" w:type="dxa"/>
            <w:tcBorders>
              <w:top w:val="single" w:color="auto" w:sz="4" w:space="0"/>
              <w:left w:val="single" w:color="auto" w:sz="4" w:space="0"/>
              <w:bottom w:val="single" w:color="auto" w:sz="4" w:space="0"/>
              <w:right w:val="single" w:color="auto" w:sz="4" w:space="0"/>
            </w:tcBorders>
          </w:tcPr>
          <w:p w14:paraId="095C6D9A">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Infiintare inteligent de distributie gaze naturale in Com Simian Etapa II</w:t>
            </w:r>
          </w:p>
        </w:tc>
        <w:tc>
          <w:tcPr>
            <w:tcW w:w="2790" w:type="dxa"/>
            <w:tcBorders>
              <w:top w:val="single" w:color="auto" w:sz="4" w:space="0"/>
              <w:left w:val="single" w:color="auto" w:sz="4" w:space="0"/>
              <w:bottom w:val="single" w:color="auto" w:sz="4" w:space="0"/>
              <w:right w:val="single" w:color="auto" w:sz="4" w:space="0"/>
            </w:tcBorders>
          </w:tcPr>
          <w:p w14:paraId="39E56884">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instalatie retea gaze</w:t>
            </w:r>
          </w:p>
        </w:tc>
        <w:tc>
          <w:tcPr>
            <w:tcW w:w="1350" w:type="dxa"/>
            <w:tcBorders>
              <w:top w:val="single" w:color="auto" w:sz="4" w:space="0"/>
              <w:left w:val="single" w:color="auto" w:sz="4" w:space="0"/>
              <w:bottom w:val="single" w:color="auto" w:sz="4" w:space="0"/>
              <w:right w:val="single" w:color="auto" w:sz="4" w:space="0"/>
            </w:tcBorders>
          </w:tcPr>
          <w:p w14:paraId="30E752F1">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de Stat(Anghel Saligny)</w:t>
            </w:r>
          </w:p>
        </w:tc>
        <w:tc>
          <w:tcPr>
            <w:tcW w:w="1170" w:type="dxa"/>
            <w:tcBorders>
              <w:top w:val="single" w:color="auto" w:sz="4" w:space="0"/>
              <w:left w:val="single" w:color="auto" w:sz="4" w:space="0"/>
              <w:bottom w:val="single" w:color="auto" w:sz="4" w:space="0"/>
              <w:right w:val="single" w:color="auto" w:sz="4" w:space="0"/>
            </w:tcBorders>
          </w:tcPr>
          <w:p w14:paraId="3565A9D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1832539C">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2026</w:t>
            </w:r>
          </w:p>
        </w:tc>
        <w:tc>
          <w:tcPr>
            <w:tcW w:w="684" w:type="dxa"/>
            <w:tcBorders>
              <w:top w:val="single" w:color="auto" w:sz="4" w:space="0"/>
              <w:left w:val="single" w:color="auto" w:sz="4" w:space="0"/>
              <w:bottom w:val="single" w:color="auto" w:sz="4" w:space="0"/>
              <w:right w:val="single" w:color="auto" w:sz="4" w:space="0"/>
            </w:tcBorders>
          </w:tcPr>
          <w:p w14:paraId="5DBE56B8">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6A11C2E2">
            <w:pPr>
              <w:tabs>
                <w:tab w:val="left" w:pos="1848"/>
              </w:tabs>
              <w:spacing w:line="276" w:lineRule="auto"/>
              <w:rPr>
                <w:rFonts w:cs="Arial"/>
                <w:sz w:val="22"/>
              </w:rPr>
            </w:pPr>
            <w:r>
              <w:rPr>
                <w:rFonts w:cs="Arial"/>
                <w:sz w:val="22"/>
              </w:rPr>
              <w:t>xx</w:t>
            </w:r>
          </w:p>
        </w:tc>
      </w:tr>
      <w:tr w14:paraId="0997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0F1F5DF7">
            <w:pPr>
              <w:spacing w:line="276" w:lineRule="auto"/>
              <w:rPr>
                <w:rFonts w:cs="Arial"/>
                <w:sz w:val="22"/>
              </w:rPr>
            </w:pPr>
            <w:r>
              <w:rPr>
                <w:rFonts w:cs="Arial"/>
                <w:sz w:val="22"/>
              </w:rPr>
              <w:t>118</w:t>
            </w:r>
          </w:p>
        </w:tc>
        <w:tc>
          <w:tcPr>
            <w:tcW w:w="3330" w:type="dxa"/>
            <w:tcBorders>
              <w:top w:val="single" w:color="auto" w:sz="4" w:space="0"/>
              <w:left w:val="single" w:color="auto" w:sz="4" w:space="0"/>
              <w:bottom w:val="single" w:color="auto" w:sz="4" w:space="0"/>
              <w:right w:val="single" w:color="auto" w:sz="4" w:space="0"/>
            </w:tcBorders>
          </w:tcPr>
          <w:p w14:paraId="41647A83">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Infiintare retea de Canalizare menajerra in Comuna Simian</w:t>
            </w:r>
          </w:p>
        </w:tc>
        <w:tc>
          <w:tcPr>
            <w:tcW w:w="2790" w:type="dxa"/>
            <w:tcBorders>
              <w:top w:val="single" w:color="auto" w:sz="4" w:space="0"/>
              <w:left w:val="single" w:color="auto" w:sz="4" w:space="0"/>
              <w:bottom w:val="single" w:color="auto" w:sz="4" w:space="0"/>
              <w:right w:val="single" w:color="auto" w:sz="4" w:space="0"/>
            </w:tcBorders>
          </w:tcPr>
          <w:p w14:paraId="46BCCCC1">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retea</w:t>
            </w:r>
          </w:p>
        </w:tc>
        <w:tc>
          <w:tcPr>
            <w:tcW w:w="1350" w:type="dxa"/>
            <w:tcBorders>
              <w:top w:val="single" w:color="auto" w:sz="4" w:space="0"/>
              <w:left w:val="single" w:color="auto" w:sz="4" w:space="0"/>
              <w:bottom w:val="single" w:color="auto" w:sz="4" w:space="0"/>
              <w:right w:val="single" w:color="auto" w:sz="4" w:space="0"/>
            </w:tcBorders>
          </w:tcPr>
          <w:p w14:paraId="5407E7CC">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4E545539">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14565CE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2025-2027</w:t>
            </w:r>
          </w:p>
        </w:tc>
        <w:tc>
          <w:tcPr>
            <w:tcW w:w="684" w:type="dxa"/>
            <w:tcBorders>
              <w:top w:val="single" w:color="auto" w:sz="4" w:space="0"/>
              <w:left w:val="single" w:color="auto" w:sz="4" w:space="0"/>
              <w:bottom w:val="single" w:color="auto" w:sz="4" w:space="0"/>
              <w:right w:val="single" w:color="auto" w:sz="4" w:space="0"/>
            </w:tcBorders>
          </w:tcPr>
          <w:p w14:paraId="5037B52E">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042E91B0">
            <w:pPr>
              <w:tabs>
                <w:tab w:val="left" w:pos="1848"/>
              </w:tabs>
              <w:spacing w:line="276" w:lineRule="auto"/>
              <w:rPr>
                <w:rFonts w:cs="Arial"/>
                <w:sz w:val="22"/>
              </w:rPr>
            </w:pPr>
            <w:r>
              <w:rPr>
                <w:rFonts w:cs="Arial"/>
                <w:sz w:val="22"/>
              </w:rPr>
              <w:t>xx</w:t>
            </w:r>
          </w:p>
        </w:tc>
      </w:tr>
      <w:tr w14:paraId="209D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185BC395">
            <w:pPr>
              <w:spacing w:line="276" w:lineRule="auto"/>
              <w:rPr>
                <w:rFonts w:cs="Arial"/>
                <w:sz w:val="22"/>
              </w:rPr>
            </w:pPr>
            <w:r>
              <w:rPr>
                <w:rFonts w:cs="Arial"/>
                <w:sz w:val="22"/>
              </w:rPr>
              <w:t>119</w:t>
            </w:r>
          </w:p>
        </w:tc>
        <w:tc>
          <w:tcPr>
            <w:tcW w:w="3330" w:type="dxa"/>
            <w:tcBorders>
              <w:top w:val="single" w:color="auto" w:sz="4" w:space="0"/>
              <w:left w:val="single" w:color="auto" w:sz="4" w:space="0"/>
              <w:bottom w:val="single" w:color="auto" w:sz="4" w:space="0"/>
              <w:right w:val="single" w:color="auto" w:sz="4" w:space="0"/>
            </w:tcBorders>
          </w:tcPr>
          <w:p w14:paraId="136AE461">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Infiintare retea de canalizare menajera in comuna Simian-SF</w:t>
            </w:r>
          </w:p>
        </w:tc>
        <w:tc>
          <w:tcPr>
            <w:tcW w:w="2790" w:type="dxa"/>
            <w:tcBorders>
              <w:top w:val="single" w:color="auto" w:sz="4" w:space="0"/>
              <w:left w:val="single" w:color="auto" w:sz="4" w:space="0"/>
              <w:bottom w:val="single" w:color="auto" w:sz="4" w:space="0"/>
              <w:right w:val="single" w:color="auto" w:sz="4" w:space="0"/>
            </w:tcBorders>
          </w:tcPr>
          <w:p w14:paraId="06C80807">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Finalizare retea</w:t>
            </w:r>
          </w:p>
        </w:tc>
        <w:tc>
          <w:tcPr>
            <w:tcW w:w="1350" w:type="dxa"/>
            <w:tcBorders>
              <w:top w:val="single" w:color="auto" w:sz="4" w:space="0"/>
              <w:left w:val="single" w:color="auto" w:sz="4" w:space="0"/>
              <w:bottom w:val="single" w:color="auto" w:sz="4" w:space="0"/>
              <w:right w:val="single" w:color="auto" w:sz="4" w:space="0"/>
            </w:tcBorders>
          </w:tcPr>
          <w:p w14:paraId="42E89D2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70E1CC3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Borders>
              <w:top w:val="single" w:color="auto" w:sz="4" w:space="0"/>
              <w:left w:val="single" w:color="auto" w:sz="4" w:space="0"/>
              <w:bottom w:val="single" w:color="auto" w:sz="4" w:space="0"/>
              <w:right w:val="single" w:color="auto" w:sz="4" w:space="0"/>
            </w:tcBorders>
          </w:tcPr>
          <w:p w14:paraId="21652FA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2025-2027</w:t>
            </w:r>
          </w:p>
        </w:tc>
        <w:tc>
          <w:tcPr>
            <w:tcW w:w="684" w:type="dxa"/>
            <w:tcBorders>
              <w:top w:val="single" w:color="auto" w:sz="4" w:space="0"/>
              <w:left w:val="single" w:color="auto" w:sz="4" w:space="0"/>
              <w:bottom w:val="single" w:color="auto" w:sz="4" w:space="0"/>
              <w:right w:val="single" w:color="auto" w:sz="4" w:space="0"/>
            </w:tcBorders>
          </w:tcPr>
          <w:p w14:paraId="41E1FE4C">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15E58147">
            <w:pPr>
              <w:tabs>
                <w:tab w:val="left" w:pos="1848"/>
              </w:tabs>
              <w:spacing w:line="276" w:lineRule="auto"/>
              <w:rPr>
                <w:rFonts w:cs="Arial"/>
                <w:sz w:val="22"/>
              </w:rPr>
            </w:pPr>
            <w:r>
              <w:rPr>
                <w:rFonts w:cs="Arial"/>
                <w:sz w:val="22"/>
              </w:rPr>
              <w:t>xx</w:t>
            </w:r>
          </w:p>
        </w:tc>
      </w:tr>
      <w:tr w14:paraId="7F31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12DE34DA">
            <w:pPr>
              <w:spacing w:line="276" w:lineRule="auto"/>
              <w:rPr>
                <w:rFonts w:cs="Arial"/>
                <w:sz w:val="22"/>
              </w:rPr>
            </w:pPr>
            <w:r>
              <w:rPr>
                <w:rFonts w:cs="Arial"/>
                <w:sz w:val="22"/>
              </w:rPr>
              <w:t>120</w:t>
            </w:r>
          </w:p>
        </w:tc>
        <w:tc>
          <w:tcPr>
            <w:tcW w:w="3330" w:type="dxa"/>
            <w:tcBorders>
              <w:top w:val="single" w:color="auto" w:sz="4" w:space="0"/>
              <w:left w:val="single" w:color="auto" w:sz="4" w:space="0"/>
              <w:bottom w:val="single" w:color="auto" w:sz="4" w:space="0"/>
              <w:right w:val="single" w:color="auto" w:sz="4" w:space="0"/>
            </w:tcBorders>
          </w:tcPr>
          <w:p w14:paraId="719E5BFE">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Extindere rețea fibră optică și internet de mare viteză</w:t>
            </w:r>
          </w:p>
        </w:tc>
        <w:tc>
          <w:tcPr>
            <w:tcW w:w="2790" w:type="dxa"/>
            <w:tcBorders>
              <w:top w:val="single" w:color="auto" w:sz="4" w:space="0"/>
              <w:left w:val="single" w:color="auto" w:sz="4" w:space="0"/>
              <w:bottom w:val="single" w:color="auto" w:sz="4" w:space="0"/>
              <w:right w:val="single" w:color="auto" w:sz="4" w:space="0"/>
            </w:tcBorders>
          </w:tcPr>
          <w:p w14:paraId="633C2671">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accesului locuitorilor la infrastructura digitala și de comunicatii</w:t>
            </w:r>
          </w:p>
        </w:tc>
        <w:tc>
          <w:tcPr>
            <w:tcW w:w="1350" w:type="dxa"/>
            <w:tcBorders>
              <w:top w:val="single" w:color="auto" w:sz="4" w:space="0"/>
              <w:left w:val="single" w:color="auto" w:sz="4" w:space="0"/>
              <w:bottom w:val="single" w:color="auto" w:sz="4" w:space="0"/>
              <w:right w:val="single" w:color="auto" w:sz="4" w:space="0"/>
            </w:tcBorders>
          </w:tcPr>
          <w:p w14:paraId="159BB0F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10E0CD7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1B384BD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2030</w:t>
            </w:r>
          </w:p>
        </w:tc>
        <w:tc>
          <w:tcPr>
            <w:tcW w:w="684" w:type="dxa"/>
            <w:tcBorders>
              <w:top w:val="single" w:color="auto" w:sz="4" w:space="0"/>
              <w:left w:val="single" w:color="auto" w:sz="4" w:space="0"/>
              <w:bottom w:val="single" w:color="auto" w:sz="4" w:space="0"/>
              <w:right w:val="single" w:color="auto" w:sz="4" w:space="0"/>
            </w:tcBorders>
          </w:tcPr>
          <w:p w14:paraId="59C2549D">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0F34FF41">
            <w:pPr>
              <w:tabs>
                <w:tab w:val="left" w:pos="1848"/>
              </w:tabs>
              <w:spacing w:line="276" w:lineRule="auto"/>
              <w:rPr>
                <w:rFonts w:cs="Arial"/>
                <w:sz w:val="22"/>
              </w:rPr>
            </w:pPr>
            <w:r>
              <w:rPr>
                <w:rFonts w:cs="Arial"/>
                <w:sz w:val="22"/>
              </w:rPr>
              <w:t>xx</w:t>
            </w:r>
          </w:p>
        </w:tc>
      </w:tr>
      <w:tr w14:paraId="0BE3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35" w:type="dxa"/>
            <w:tcBorders>
              <w:top w:val="single" w:color="auto" w:sz="4" w:space="0"/>
              <w:left w:val="single" w:color="auto" w:sz="4" w:space="0"/>
              <w:bottom w:val="single" w:color="auto" w:sz="4" w:space="0"/>
              <w:right w:val="single" w:color="auto" w:sz="4" w:space="0"/>
            </w:tcBorders>
          </w:tcPr>
          <w:p w14:paraId="17473A44">
            <w:pPr>
              <w:spacing w:line="276" w:lineRule="auto"/>
              <w:rPr>
                <w:rFonts w:cs="Arial"/>
                <w:sz w:val="22"/>
              </w:rPr>
            </w:pPr>
            <w:r>
              <w:rPr>
                <w:rFonts w:cs="Arial"/>
                <w:sz w:val="22"/>
              </w:rPr>
              <w:t>121</w:t>
            </w:r>
          </w:p>
        </w:tc>
        <w:tc>
          <w:tcPr>
            <w:tcW w:w="3330" w:type="dxa"/>
            <w:tcBorders>
              <w:top w:val="single" w:color="auto" w:sz="4" w:space="0"/>
              <w:left w:val="single" w:color="auto" w:sz="4" w:space="0"/>
              <w:bottom w:val="single" w:color="auto" w:sz="4" w:space="0"/>
              <w:right w:val="single" w:color="auto" w:sz="4" w:space="0"/>
            </w:tcBorders>
          </w:tcPr>
          <w:p w14:paraId="2292FB6D">
            <w:pPr>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Modernizare rețea de iluminat public cu LED</w:t>
            </w:r>
          </w:p>
        </w:tc>
        <w:tc>
          <w:tcPr>
            <w:tcW w:w="2790" w:type="dxa"/>
            <w:tcBorders>
              <w:top w:val="single" w:color="auto" w:sz="4" w:space="0"/>
              <w:left w:val="single" w:color="auto" w:sz="4" w:space="0"/>
              <w:bottom w:val="single" w:color="auto" w:sz="4" w:space="0"/>
              <w:right w:val="single" w:color="auto" w:sz="4" w:space="0"/>
            </w:tcBorders>
          </w:tcPr>
          <w:p w14:paraId="7BC44B54">
            <w:pPr>
              <w:tabs>
                <w:tab w:val="left" w:pos="1848"/>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Creșterea accesului locuitorilor la infrastructura digitala și de comunicatii</w:t>
            </w:r>
          </w:p>
        </w:tc>
        <w:tc>
          <w:tcPr>
            <w:tcW w:w="1350" w:type="dxa"/>
            <w:tcBorders>
              <w:top w:val="single" w:color="auto" w:sz="4" w:space="0"/>
              <w:left w:val="single" w:color="auto" w:sz="4" w:space="0"/>
              <w:bottom w:val="single" w:color="auto" w:sz="4" w:space="0"/>
              <w:right w:val="single" w:color="auto" w:sz="4" w:space="0"/>
            </w:tcBorders>
          </w:tcPr>
          <w:p w14:paraId="348AC15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Borders>
              <w:top w:val="single" w:color="auto" w:sz="4" w:space="0"/>
              <w:left w:val="single" w:color="auto" w:sz="4" w:space="0"/>
              <w:bottom w:val="single" w:color="auto" w:sz="4" w:space="0"/>
              <w:right w:val="single" w:color="auto" w:sz="4" w:space="0"/>
            </w:tcBorders>
          </w:tcPr>
          <w:p w14:paraId="4A27E8C4">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Borders>
              <w:top w:val="single" w:color="auto" w:sz="4" w:space="0"/>
              <w:left w:val="single" w:color="auto" w:sz="4" w:space="0"/>
              <w:bottom w:val="single" w:color="auto" w:sz="4" w:space="0"/>
              <w:right w:val="single" w:color="auto" w:sz="4" w:space="0"/>
            </w:tcBorders>
          </w:tcPr>
          <w:p w14:paraId="78198FF3">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2030</w:t>
            </w:r>
          </w:p>
        </w:tc>
        <w:tc>
          <w:tcPr>
            <w:tcW w:w="684" w:type="dxa"/>
            <w:tcBorders>
              <w:top w:val="single" w:color="auto" w:sz="4" w:space="0"/>
              <w:left w:val="single" w:color="auto" w:sz="4" w:space="0"/>
              <w:bottom w:val="single" w:color="auto" w:sz="4" w:space="0"/>
              <w:right w:val="single" w:color="auto" w:sz="4" w:space="0"/>
            </w:tcBorders>
          </w:tcPr>
          <w:p w14:paraId="07B45AF0">
            <w:pPr>
              <w:tabs>
                <w:tab w:val="left" w:pos="1848"/>
              </w:tabs>
              <w:spacing w:line="276" w:lineRule="auto"/>
              <w:rPr>
                <w:rFonts w:cs="Arial"/>
                <w:sz w:val="22"/>
              </w:rPr>
            </w:pPr>
          </w:p>
        </w:tc>
        <w:tc>
          <w:tcPr>
            <w:tcW w:w="734" w:type="dxa"/>
            <w:tcBorders>
              <w:top w:val="single" w:color="auto" w:sz="4" w:space="0"/>
              <w:left w:val="single" w:color="auto" w:sz="4" w:space="0"/>
              <w:bottom w:val="single" w:color="auto" w:sz="4" w:space="0"/>
              <w:right w:val="single" w:color="auto" w:sz="4" w:space="0"/>
            </w:tcBorders>
          </w:tcPr>
          <w:p w14:paraId="2D114DD4">
            <w:pPr>
              <w:tabs>
                <w:tab w:val="left" w:pos="1848"/>
              </w:tabs>
              <w:spacing w:line="276" w:lineRule="auto"/>
              <w:rPr>
                <w:rFonts w:cs="Arial"/>
                <w:sz w:val="22"/>
              </w:rPr>
            </w:pPr>
            <w:r>
              <w:rPr>
                <w:rFonts w:cs="Arial"/>
                <w:sz w:val="22"/>
              </w:rPr>
              <w:t>xx</w:t>
            </w:r>
          </w:p>
        </w:tc>
      </w:tr>
      <w:tr w14:paraId="13A4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619" w:type="dxa"/>
            <w:gridSpan w:val="8"/>
          </w:tcPr>
          <w:p w14:paraId="2C196323">
            <w:pPr>
              <w:pStyle w:val="4"/>
              <w:ind w:firstLine="0"/>
              <w:rPr>
                <w:rFonts w:cs="Arial"/>
                <w:sz w:val="22"/>
                <w:szCs w:val="22"/>
                <w:lang w:val="ro-RO"/>
              </w:rPr>
            </w:pPr>
            <w:bookmarkStart w:id="93" w:name="_Toc201926353"/>
            <w:r>
              <w:rPr>
                <w:rFonts w:cs="Arial"/>
                <w:sz w:val="22"/>
                <w:szCs w:val="22"/>
                <w:lang w:val="ro-RO"/>
              </w:rPr>
              <w:t>DIRECȚIA STRATEGICĂ 2 - Dezvoltarea economică locală și diversificarea surselor de venit</w:t>
            </w:r>
            <w:bookmarkEnd w:id="93"/>
          </w:p>
          <w:p w14:paraId="64FCFB79">
            <w:pPr>
              <w:tabs>
                <w:tab w:val="left" w:pos="1848"/>
              </w:tabs>
              <w:ind w:firstLine="0"/>
              <w:rPr>
                <w:rFonts w:cs="Arial"/>
                <w:sz w:val="22"/>
                <w:lang w:val="ro-RO"/>
              </w:rPr>
            </w:pPr>
            <w:r>
              <w:rPr>
                <w:rFonts w:cs="Arial"/>
                <w:b/>
                <w:bCs/>
                <w:color w:val="2E75B6" w:themeColor="accent5" w:themeShade="BF"/>
                <w:sz w:val="22"/>
                <w:lang w:val="ro-RO"/>
              </w:rPr>
              <w:t xml:space="preserve">Obiectivul strategic nr. 2 - </w:t>
            </w:r>
            <w:r>
              <w:rPr>
                <w:rFonts w:cs="Arial"/>
                <w:sz w:val="22"/>
                <w:lang w:val="ro-RO"/>
              </w:rPr>
              <w:t xml:space="preserve">Sprijinirea antreprenoriatului, a inițiativelor private și a cooperativelor agricole, promovarea turismului sustenabil și valorificarea resurselor naturale și culturale pentru crearea de noi locuri de muncă </w:t>
            </w:r>
          </w:p>
          <w:p w14:paraId="48919241">
            <w:pPr>
              <w:tabs>
                <w:tab w:val="left" w:pos="1848"/>
              </w:tabs>
              <w:rPr>
                <w:rFonts w:cs="Arial"/>
                <w:b/>
                <w:bCs/>
                <w:color w:val="004E9A"/>
                <w:sz w:val="22"/>
              </w:rPr>
            </w:pPr>
          </w:p>
        </w:tc>
      </w:tr>
      <w:tr w14:paraId="22C9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28B97A37">
            <w:pPr>
              <w:spacing w:line="276" w:lineRule="auto"/>
              <w:rPr>
                <w:rFonts w:cs="Arial"/>
                <w:sz w:val="22"/>
              </w:rPr>
            </w:pPr>
            <w:r>
              <w:rPr>
                <w:rFonts w:cs="Arial"/>
                <w:sz w:val="22"/>
              </w:rPr>
              <w:t>222</w:t>
            </w:r>
          </w:p>
        </w:tc>
        <w:tc>
          <w:tcPr>
            <w:tcW w:w="3330" w:type="dxa"/>
          </w:tcPr>
          <w:p w14:paraId="6E925D01">
            <w:pPr>
              <w:spacing w:before="60"/>
              <w:ind w:firstLine="0"/>
              <w:rPr>
                <w:rFonts w:cs="Arial"/>
                <w:sz w:val="22"/>
                <w:lang w:val="ro-RO"/>
              </w:rPr>
            </w:pPr>
            <w:r>
              <w:rPr>
                <w:rFonts w:eastAsia="SimSun" w:cs="Arial"/>
                <w:sz w:val="22"/>
                <w:lang w:val="ro-RO"/>
              </w:rPr>
              <w:t>Înființarea unui parc industrial de specializare inteligentă</w:t>
            </w:r>
          </w:p>
        </w:tc>
        <w:tc>
          <w:tcPr>
            <w:tcW w:w="2790" w:type="dxa"/>
          </w:tcPr>
          <w:p w14:paraId="0006E514">
            <w:pPr>
              <w:autoSpaceDE w:val="0"/>
              <w:autoSpaceDN w:val="0"/>
              <w:adjustRightInd w:val="0"/>
              <w:spacing w:line="276" w:lineRule="auto"/>
              <w:ind w:firstLine="0"/>
              <w:jc w:val="left"/>
              <w:rPr>
                <w:rFonts w:cs="Arial"/>
                <w:color w:val="000000"/>
                <w:sz w:val="22"/>
              </w:rPr>
            </w:pPr>
            <w:r>
              <w:rPr>
                <w:rFonts w:cs="Arial"/>
                <w:color w:val="000000"/>
                <w:sz w:val="22"/>
              </w:rPr>
              <w:t>Dezvoltare economică locală</w:t>
            </w:r>
          </w:p>
        </w:tc>
        <w:tc>
          <w:tcPr>
            <w:tcW w:w="1350" w:type="dxa"/>
          </w:tcPr>
          <w:p w14:paraId="11B99105">
            <w:pPr>
              <w:spacing w:before="60"/>
              <w:ind w:firstLine="0"/>
              <w:jc w:val="left"/>
              <w:rPr>
                <w:rFonts w:eastAsia="SimSun" w:cs="Arial"/>
                <w:sz w:val="22"/>
                <w:lang w:val="ro-RO"/>
              </w:rPr>
            </w:pPr>
            <w:r>
              <w:rPr>
                <w:rFonts w:eastAsia="SimSun" w:cs="Arial"/>
                <w:sz w:val="22"/>
                <w:lang w:val="ro-RO"/>
              </w:rPr>
              <w:t>Finantari nerambursabile externe</w:t>
            </w:r>
          </w:p>
          <w:p w14:paraId="16FD1E7F">
            <w:pPr>
              <w:spacing w:before="60"/>
              <w:ind w:firstLine="0"/>
              <w:jc w:val="left"/>
              <w:rPr>
                <w:rFonts w:eastAsia="SimSun" w:cs="Arial"/>
                <w:sz w:val="22"/>
                <w:lang w:val="ro-RO"/>
              </w:rPr>
            </w:pPr>
            <w:r>
              <w:rPr>
                <w:rFonts w:eastAsia="SimSun" w:cs="Arial"/>
                <w:sz w:val="22"/>
                <w:lang w:val="ro-RO"/>
              </w:rPr>
              <w:t>Fonduri guvernamentale</w:t>
            </w:r>
          </w:p>
          <w:p w14:paraId="238EF188">
            <w:pPr>
              <w:tabs>
                <w:tab w:val="left" w:pos="1848"/>
              </w:tabs>
              <w:spacing w:line="276" w:lineRule="auto"/>
              <w:ind w:firstLine="0"/>
              <w:jc w:val="left"/>
              <w:rPr>
                <w:rFonts w:eastAsia="SimSun" w:cs="Arial"/>
                <w:sz w:val="22"/>
                <w:lang w:val="ro-RO"/>
              </w:rPr>
            </w:pPr>
            <w:r>
              <w:rPr>
                <w:rFonts w:eastAsia="SimSun" w:cs="Arial"/>
                <w:sz w:val="22"/>
                <w:lang w:val="ro-RO"/>
              </w:rPr>
              <w:t>Alte surse</w:t>
            </w:r>
          </w:p>
        </w:tc>
        <w:tc>
          <w:tcPr>
            <w:tcW w:w="1170" w:type="dxa"/>
          </w:tcPr>
          <w:p w14:paraId="3DD4A9E7">
            <w:pPr>
              <w:spacing w:before="60"/>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2286CC93">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2862EC16">
            <w:pPr>
              <w:tabs>
                <w:tab w:val="left" w:pos="1848"/>
              </w:tabs>
              <w:spacing w:line="276" w:lineRule="auto"/>
              <w:rPr>
                <w:rFonts w:cs="Arial"/>
                <w:sz w:val="22"/>
              </w:rPr>
            </w:pPr>
          </w:p>
        </w:tc>
        <w:tc>
          <w:tcPr>
            <w:tcW w:w="734" w:type="dxa"/>
          </w:tcPr>
          <w:p w14:paraId="7607C2CF">
            <w:pPr>
              <w:tabs>
                <w:tab w:val="left" w:pos="1848"/>
              </w:tabs>
              <w:spacing w:line="276" w:lineRule="auto"/>
              <w:rPr>
                <w:rFonts w:cs="Arial"/>
                <w:sz w:val="22"/>
              </w:rPr>
            </w:pPr>
            <w:r>
              <w:rPr>
                <w:rFonts w:cs="Arial"/>
                <w:sz w:val="22"/>
              </w:rPr>
              <w:t>xx</w:t>
            </w:r>
          </w:p>
        </w:tc>
      </w:tr>
      <w:tr w14:paraId="02F2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45258633">
            <w:pPr>
              <w:spacing w:line="276" w:lineRule="auto"/>
              <w:rPr>
                <w:rFonts w:cs="Arial"/>
                <w:sz w:val="22"/>
              </w:rPr>
            </w:pPr>
            <w:r>
              <w:rPr>
                <w:rFonts w:cs="Arial"/>
                <w:sz w:val="22"/>
              </w:rPr>
              <w:t>123</w:t>
            </w:r>
          </w:p>
        </w:tc>
        <w:tc>
          <w:tcPr>
            <w:tcW w:w="3330" w:type="dxa"/>
          </w:tcPr>
          <w:p w14:paraId="4B9A29F8">
            <w:pPr>
              <w:spacing w:before="60"/>
              <w:ind w:firstLine="0"/>
              <w:rPr>
                <w:rFonts w:eastAsia="SimSun" w:cs="Arial"/>
                <w:sz w:val="22"/>
                <w:lang w:val="ro-RO"/>
              </w:rPr>
            </w:pPr>
            <w:r>
              <w:rPr>
                <w:rFonts w:eastAsia="SimSun" w:cs="Arial"/>
                <w:sz w:val="22"/>
                <w:lang w:val="ro-RO"/>
              </w:rPr>
              <w:t>Construirea unei fabrici de conserve in Șimian</w:t>
            </w:r>
          </w:p>
        </w:tc>
        <w:tc>
          <w:tcPr>
            <w:tcW w:w="2790" w:type="dxa"/>
          </w:tcPr>
          <w:p w14:paraId="7448E7F5">
            <w:pPr>
              <w:autoSpaceDE w:val="0"/>
              <w:autoSpaceDN w:val="0"/>
              <w:adjustRightInd w:val="0"/>
              <w:spacing w:line="276" w:lineRule="auto"/>
              <w:ind w:firstLine="0"/>
              <w:jc w:val="left"/>
              <w:rPr>
                <w:rFonts w:cs="Arial"/>
                <w:color w:val="000000"/>
                <w:sz w:val="22"/>
              </w:rPr>
            </w:pPr>
            <w:r>
              <w:rPr>
                <w:rFonts w:cs="Arial"/>
                <w:color w:val="000000"/>
                <w:sz w:val="22"/>
              </w:rPr>
              <w:t>Dezvoltare economică locală</w:t>
            </w:r>
          </w:p>
        </w:tc>
        <w:tc>
          <w:tcPr>
            <w:tcW w:w="1350" w:type="dxa"/>
          </w:tcPr>
          <w:p w14:paraId="32207FCB">
            <w:pPr>
              <w:spacing w:before="60"/>
              <w:ind w:firstLine="0"/>
              <w:jc w:val="left"/>
              <w:rPr>
                <w:rFonts w:eastAsia="SimSun" w:cs="Arial"/>
                <w:sz w:val="22"/>
                <w:lang w:val="ro-RO"/>
              </w:rPr>
            </w:pPr>
            <w:r>
              <w:rPr>
                <w:rFonts w:eastAsia="SimSun" w:cs="Arial"/>
                <w:sz w:val="22"/>
                <w:lang w:val="ro-RO"/>
              </w:rPr>
              <w:t>Finantari nerambursabile externe</w:t>
            </w:r>
          </w:p>
          <w:p w14:paraId="23D36DFB">
            <w:pPr>
              <w:spacing w:before="60"/>
              <w:ind w:firstLine="0"/>
              <w:jc w:val="left"/>
              <w:rPr>
                <w:rFonts w:eastAsia="SimSun" w:cs="Arial"/>
                <w:sz w:val="22"/>
                <w:lang w:val="ro-RO"/>
              </w:rPr>
            </w:pPr>
            <w:r>
              <w:rPr>
                <w:rFonts w:eastAsia="SimSun" w:cs="Arial"/>
                <w:sz w:val="22"/>
                <w:lang w:val="ro-RO"/>
              </w:rPr>
              <w:t>Fonduri guvernamentale</w:t>
            </w:r>
          </w:p>
          <w:p w14:paraId="2BF78C2E">
            <w:pPr>
              <w:spacing w:before="60"/>
              <w:ind w:firstLine="0"/>
              <w:jc w:val="left"/>
              <w:rPr>
                <w:rFonts w:eastAsia="SimSun" w:cs="Arial"/>
                <w:sz w:val="22"/>
                <w:lang w:val="ro-RO"/>
              </w:rPr>
            </w:pPr>
            <w:r>
              <w:rPr>
                <w:rFonts w:eastAsia="SimSun" w:cs="Arial"/>
                <w:sz w:val="22"/>
                <w:lang w:val="ro-RO"/>
              </w:rPr>
              <w:t>Alte surse</w:t>
            </w:r>
          </w:p>
        </w:tc>
        <w:tc>
          <w:tcPr>
            <w:tcW w:w="1170" w:type="dxa"/>
          </w:tcPr>
          <w:p w14:paraId="52C98306">
            <w:pPr>
              <w:spacing w:before="60"/>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17B44D81">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7B0E1CE9">
            <w:pPr>
              <w:tabs>
                <w:tab w:val="left" w:pos="1848"/>
              </w:tabs>
              <w:spacing w:line="276" w:lineRule="auto"/>
              <w:rPr>
                <w:rFonts w:cs="Arial"/>
                <w:sz w:val="22"/>
              </w:rPr>
            </w:pPr>
          </w:p>
        </w:tc>
        <w:tc>
          <w:tcPr>
            <w:tcW w:w="734" w:type="dxa"/>
          </w:tcPr>
          <w:p w14:paraId="677808AF">
            <w:pPr>
              <w:tabs>
                <w:tab w:val="left" w:pos="1848"/>
              </w:tabs>
              <w:spacing w:line="276" w:lineRule="auto"/>
              <w:rPr>
                <w:rFonts w:cs="Arial"/>
                <w:sz w:val="22"/>
              </w:rPr>
            </w:pPr>
            <w:r>
              <w:rPr>
                <w:rFonts w:cs="Arial"/>
                <w:sz w:val="22"/>
              </w:rPr>
              <w:t>xx</w:t>
            </w:r>
          </w:p>
        </w:tc>
      </w:tr>
      <w:tr w14:paraId="0E46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37F930BD">
            <w:pPr>
              <w:spacing w:line="276" w:lineRule="auto"/>
              <w:rPr>
                <w:rFonts w:cs="Arial"/>
                <w:sz w:val="22"/>
              </w:rPr>
            </w:pPr>
            <w:r>
              <w:rPr>
                <w:rFonts w:cs="Arial"/>
                <w:sz w:val="22"/>
              </w:rPr>
              <w:t>224</w:t>
            </w:r>
          </w:p>
        </w:tc>
        <w:tc>
          <w:tcPr>
            <w:tcW w:w="3330" w:type="dxa"/>
          </w:tcPr>
          <w:p w14:paraId="6DCF8AE3">
            <w:pPr>
              <w:spacing w:before="60"/>
              <w:ind w:firstLine="0"/>
              <w:rPr>
                <w:rFonts w:eastAsia="SimSun" w:cs="Arial"/>
                <w:sz w:val="22"/>
                <w:lang w:val="ro-RO"/>
              </w:rPr>
            </w:pPr>
            <w:r>
              <w:rPr>
                <w:rFonts w:eastAsia="SimSun" w:cs="Arial"/>
                <w:sz w:val="22"/>
                <w:lang w:val="ro-RO"/>
              </w:rPr>
              <w:t>Modernizarea si reablitarea piețelor agroalimentare in vederea aducerii la standare europen</w:t>
            </w:r>
            <w:r>
              <w:rPr>
                <w:rFonts w:ascii="Helvetica-BoldOblique" w:hAnsi="Helvetica-BoldOblique"/>
                <w:b/>
                <w:bCs/>
                <w:i/>
                <w:sz w:val="26"/>
                <w:szCs w:val="26"/>
              </w:rPr>
              <w:t>e</w:t>
            </w:r>
          </w:p>
        </w:tc>
        <w:tc>
          <w:tcPr>
            <w:tcW w:w="2790" w:type="dxa"/>
          </w:tcPr>
          <w:p w14:paraId="4E102A90">
            <w:pPr>
              <w:autoSpaceDE w:val="0"/>
              <w:autoSpaceDN w:val="0"/>
              <w:adjustRightInd w:val="0"/>
              <w:spacing w:line="276" w:lineRule="auto"/>
              <w:ind w:firstLine="0"/>
              <w:jc w:val="left"/>
              <w:rPr>
                <w:rFonts w:cs="Arial"/>
                <w:color w:val="000000"/>
                <w:sz w:val="22"/>
              </w:rPr>
            </w:pPr>
            <w:r>
              <w:rPr>
                <w:rFonts w:cs="Arial"/>
                <w:color w:val="000000"/>
                <w:sz w:val="22"/>
              </w:rPr>
              <w:t>Dezvoltare economică locală</w:t>
            </w:r>
          </w:p>
        </w:tc>
        <w:tc>
          <w:tcPr>
            <w:tcW w:w="1350" w:type="dxa"/>
          </w:tcPr>
          <w:p w14:paraId="2FF8969E">
            <w:pPr>
              <w:spacing w:before="60"/>
              <w:ind w:firstLine="0"/>
              <w:jc w:val="left"/>
              <w:rPr>
                <w:rFonts w:eastAsia="SimSun" w:cs="Arial"/>
                <w:sz w:val="22"/>
                <w:lang w:val="ro-RO"/>
              </w:rPr>
            </w:pPr>
            <w:r>
              <w:rPr>
                <w:rFonts w:eastAsia="SimSun" w:cs="Arial"/>
                <w:sz w:val="22"/>
                <w:lang w:val="ro-RO"/>
              </w:rPr>
              <w:t>Finantari nerambursabile externe</w:t>
            </w:r>
          </w:p>
          <w:p w14:paraId="6EB6F6EC">
            <w:pPr>
              <w:spacing w:before="60"/>
              <w:ind w:firstLine="0"/>
              <w:jc w:val="left"/>
              <w:rPr>
                <w:rFonts w:eastAsia="SimSun" w:cs="Arial"/>
                <w:sz w:val="22"/>
                <w:lang w:val="ro-RO"/>
              </w:rPr>
            </w:pPr>
            <w:r>
              <w:rPr>
                <w:rFonts w:eastAsia="SimSun" w:cs="Arial"/>
                <w:sz w:val="22"/>
                <w:lang w:val="ro-RO"/>
              </w:rPr>
              <w:t>Fonduri guvernamentale</w:t>
            </w:r>
          </w:p>
          <w:p w14:paraId="5D3DB924">
            <w:pPr>
              <w:spacing w:before="60"/>
              <w:ind w:firstLine="0"/>
              <w:jc w:val="left"/>
              <w:rPr>
                <w:rFonts w:eastAsia="SimSun" w:cs="Arial"/>
                <w:sz w:val="22"/>
                <w:lang w:val="ro-RO"/>
              </w:rPr>
            </w:pPr>
            <w:r>
              <w:rPr>
                <w:rFonts w:eastAsia="SimSun" w:cs="Arial"/>
                <w:sz w:val="22"/>
                <w:lang w:val="ro-RO"/>
              </w:rPr>
              <w:t>Alte surse</w:t>
            </w:r>
          </w:p>
        </w:tc>
        <w:tc>
          <w:tcPr>
            <w:tcW w:w="1170" w:type="dxa"/>
          </w:tcPr>
          <w:p w14:paraId="23F48A53">
            <w:pPr>
              <w:spacing w:before="60"/>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776B495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69EABCB1">
            <w:pPr>
              <w:tabs>
                <w:tab w:val="left" w:pos="1848"/>
              </w:tabs>
              <w:spacing w:line="276" w:lineRule="auto"/>
              <w:rPr>
                <w:rFonts w:cs="Arial"/>
                <w:sz w:val="22"/>
              </w:rPr>
            </w:pPr>
          </w:p>
        </w:tc>
        <w:tc>
          <w:tcPr>
            <w:tcW w:w="734" w:type="dxa"/>
          </w:tcPr>
          <w:p w14:paraId="6D55C3D1">
            <w:pPr>
              <w:tabs>
                <w:tab w:val="left" w:pos="1848"/>
              </w:tabs>
              <w:spacing w:line="276" w:lineRule="auto"/>
              <w:rPr>
                <w:rFonts w:cs="Arial"/>
                <w:sz w:val="22"/>
              </w:rPr>
            </w:pPr>
            <w:r>
              <w:rPr>
                <w:rFonts w:cs="Arial"/>
                <w:sz w:val="22"/>
              </w:rPr>
              <w:t>xx</w:t>
            </w:r>
          </w:p>
        </w:tc>
      </w:tr>
      <w:tr w14:paraId="655A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7A50552E">
            <w:pPr>
              <w:spacing w:line="276" w:lineRule="auto"/>
              <w:rPr>
                <w:rFonts w:cs="Arial"/>
                <w:sz w:val="22"/>
              </w:rPr>
            </w:pPr>
            <w:r>
              <w:rPr>
                <w:rFonts w:cs="Arial"/>
                <w:sz w:val="22"/>
              </w:rPr>
              <w:t>225</w:t>
            </w:r>
          </w:p>
        </w:tc>
        <w:tc>
          <w:tcPr>
            <w:tcW w:w="3330" w:type="dxa"/>
          </w:tcPr>
          <w:p w14:paraId="181529A8">
            <w:pPr>
              <w:spacing w:before="60"/>
              <w:ind w:firstLine="0"/>
              <w:rPr>
                <w:rFonts w:cs="Arial"/>
                <w:sz w:val="22"/>
                <w:lang w:val="ro-RO"/>
              </w:rPr>
            </w:pPr>
            <w:r>
              <w:rPr>
                <w:rFonts w:cs="Arial"/>
                <w:sz w:val="22"/>
                <w:lang w:val="ro-RO"/>
              </w:rPr>
              <w:t>Construirea unui Centru Agrologic Integrat:</w:t>
            </w:r>
          </w:p>
          <w:p w14:paraId="7EEBDD2E">
            <w:pPr>
              <w:spacing w:before="60"/>
              <w:ind w:firstLine="0"/>
              <w:rPr>
                <w:rFonts w:eastAsia="SimSun" w:cs="Arial"/>
                <w:sz w:val="22"/>
                <w:lang w:val="ro-RO"/>
              </w:rPr>
            </w:pPr>
            <w:r>
              <w:rPr>
                <w:rFonts w:eastAsia="SimSun" w:cs="Arial"/>
                <w:sz w:val="22"/>
                <w:lang w:val="ro-RO"/>
              </w:rPr>
              <w:t>Unități de uscare, ambalare și refrigerare pentru legume/fructe;</w:t>
            </w:r>
          </w:p>
          <w:p w14:paraId="39913508">
            <w:pPr>
              <w:spacing w:before="60"/>
              <w:ind w:firstLine="0"/>
              <w:rPr>
                <w:rFonts w:eastAsia="SimSun" w:cs="Arial"/>
                <w:sz w:val="22"/>
                <w:lang w:val="ro-RO"/>
              </w:rPr>
            </w:pPr>
            <w:r>
              <w:rPr>
                <w:rFonts w:eastAsia="SimSun" w:cs="Arial"/>
                <w:sz w:val="22"/>
                <w:lang w:val="ro-RO"/>
              </w:rPr>
              <w:t>Ateliere de prelucrare primară (sucuri, conserve, murături);</w:t>
            </w:r>
          </w:p>
          <w:p w14:paraId="76E0CFA7">
            <w:pPr>
              <w:spacing w:line="276" w:lineRule="auto"/>
              <w:ind w:firstLine="0"/>
              <w:jc w:val="left"/>
              <w:rPr>
                <w:rFonts w:cs="Arial"/>
                <w:sz w:val="22"/>
              </w:rPr>
            </w:pPr>
          </w:p>
        </w:tc>
        <w:tc>
          <w:tcPr>
            <w:tcW w:w="2790" w:type="dxa"/>
          </w:tcPr>
          <w:p w14:paraId="33C63617">
            <w:pPr>
              <w:autoSpaceDE w:val="0"/>
              <w:autoSpaceDN w:val="0"/>
              <w:adjustRightInd w:val="0"/>
              <w:spacing w:line="276" w:lineRule="auto"/>
              <w:ind w:firstLine="0"/>
              <w:jc w:val="left"/>
              <w:rPr>
                <w:rFonts w:cs="Arial"/>
                <w:color w:val="000000"/>
                <w:sz w:val="22"/>
              </w:rPr>
            </w:pPr>
            <w:r>
              <w:rPr>
                <w:rFonts w:cs="Arial"/>
                <w:color w:val="000000"/>
                <w:sz w:val="22"/>
              </w:rPr>
              <w:t>Sprijinirea fermierilor</w:t>
            </w:r>
          </w:p>
        </w:tc>
        <w:tc>
          <w:tcPr>
            <w:tcW w:w="1350" w:type="dxa"/>
          </w:tcPr>
          <w:p w14:paraId="5615D97C">
            <w:pPr>
              <w:tabs>
                <w:tab w:val="left" w:pos="1848"/>
              </w:tabs>
              <w:spacing w:line="276" w:lineRule="auto"/>
              <w:ind w:firstLine="0"/>
              <w:jc w:val="left"/>
              <w:rPr>
                <w:rFonts w:cs="Arial"/>
                <w:sz w:val="22"/>
              </w:rPr>
            </w:pPr>
            <w:r>
              <w:rPr>
                <w:rFonts w:eastAsia="SimSun" w:cs="Arial"/>
                <w:sz w:val="22"/>
                <w:lang w:val="ro-RO"/>
              </w:rPr>
              <w:t>FEADR (Măsura 4.1) și PNRR (Componenta Agricultură)</w:t>
            </w:r>
          </w:p>
        </w:tc>
        <w:tc>
          <w:tcPr>
            <w:tcW w:w="1170" w:type="dxa"/>
          </w:tcPr>
          <w:p w14:paraId="234E015D">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0297043C">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768A3528">
            <w:pPr>
              <w:tabs>
                <w:tab w:val="left" w:pos="1848"/>
              </w:tabs>
              <w:spacing w:line="276" w:lineRule="auto"/>
              <w:rPr>
                <w:rFonts w:cs="Arial"/>
                <w:sz w:val="22"/>
              </w:rPr>
            </w:pPr>
          </w:p>
        </w:tc>
        <w:tc>
          <w:tcPr>
            <w:tcW w:w="734" w:type="dxa"/>
          </w:tcPr>
          <w:p w14:paraId="2F2624B0">
            <w:pPr>
              <w:tabs>
                <w:tab w:val="left" w:pos="1848"/>
              </w:tabs>
              <w:spacing w:line="276" w:lineRule="auto"/>
              <w:rPr>
                <w:rFonts w:cs="Arial"/>
                <w:sz w:val="22"/>
              </w:rPr>
            </w:pPr>
            <w:r>
              <w:rPr>
                <w:rFonts w:cs="Arial"/>
                <w:sz w:val="22"/>
              </w:rPr>
              <w:t>xx</w:t>
            </w:r>
          </w:p>
        </w:tc>
      </w:tr>
      <w:tr w14:paraId="782E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32C1486F">
            <w:pPr>
              <w:spacing w:line="276" w:lineRule="auto"/>
              <w:rPr>
                <w:rFonts w:cs="Arial"/>
                <w:sz w:val="22"/>
              </w:rPr>
            </w:pPr>
            <w:r>
              <w:rPr>
                <w:rFonts w:cs="Arial"/>
                <w:sz w:val="22"/>
              </w:rPr>
              <w:t>226</w:t>
            </w:r>
          </w:p>
        </w:tc>
        <w:tc>
          <w:tcPr>
            <w:tcW w:w="3330" w:type="dxa"/>
          </w:tcPr>
          <w:p w14:paraId="2A591B0F">
            <w:pPr>
              <w:spacing w:before="60"/>
              <w:ind w:firstLine="0"/>
              <w:rPr>
                <w:rFonts w:cs="Arial"/>
                <w:sz w:val="22"/>
              </w:rPr>
            </w:pPr>
            <w:r>
              <w:rPr>
                <w:rFonts w:cs="Arial"/>
                <w:sz w:val="22"/>
              </w:rPr>
              <w:t>Rețea de puncte de vânzare “Piața Satelor Șimian”:</w:t>
            </w:r>
          </w:p>
          <w:p w14:paraId="376FD329">
            <w:pPr>
              <w:spacing w:before="60"/>
              <w:ind w:firstLine="0"/>
              <w:rPr>
                <w:rFonts w:eastAsia="SimSun" w:cs="Arial"/>
                <w:sz w:val="22"/>
                <w:lang w:val="lt-LT"/>
              </w:rPr>
            </w:pPr>
            <w:r>
              <w:rPr>
                <w:rFonts w:eastAsia="SimSun" w:cs="Arial"/>
                <w:sz w:val="22"/>
                <w:lang w:val="lt-LT"/>
              </w:rPr>
              <w:t>Amenajarea a 3 piete săptămânale rotative (Șimian, Cerneți, Dubovița) cu tarife simbolice pentru producători locali;</w:t>
            </w:r>
          </w:p>
          <w:p w14:paraId="58049506">
            <w:pPr>
              <w:spacing w:before="60"/>
              <w:ind w:firstLine="0"/>
              <w:rPr>
                <w:rFonts w:eastAsia="SimSun" w:cs="Arial"/>
                <w:sz w:val="22"/>
                <w:lang w:val="lt-LT"/>
              </w:rPr>
            </w:pPr>
            <w:r>
              <w:rPr>
                <w:rFonts w:eastAsia="SimSun" w:cs="Arial"/>
                <w:sz w:val="22"/>
                <w:lang w:val="lt-LT"/>
              </w:rPr>
              <w:t>Platformă digitală cu geolocație pentru program și rezervări;</w:t>
            </w:r>
          </w:p>
          <w:p w14:paraId="3C049BD9">
            <w:pPr>
              <w:spacing w:line="276" w:lineRule="auto"/>
              <w:ind w:firstLine="0"/>
              <w:jc w:val="left"/>
              <w:rPr>
                <w:rFonts w:cs="Arial"/>
                <w:sz w:val="22"/>
              </w:rPr>
            </w:pPr>
          </w:p>
        </w:tc>
        <w:tc>
          <w:tcPr>
            <w:tcW w:w="2790" w:type="dxa"/>
          </w:tcPr>
          <w:p w14:paraId="17DB9F4A">
            <w:pPr>
              <w:autoSpaceDE w:val="0"/>
              <w:autoSpaceDN w:val="0"/>
              <w:adjustRightInd w:val="0"/>
              <w:spacing w:line="276" w:lineRule="auto"/>
              <w:ind w:firstLine="0"/>
              <w:jc w:val="left"/>
              <w:rPr>
                <w:rFonts w:cs="Arial"/>
                <w:color w:val="000000"/>
                <w:sz w:val="22"/>
              </w:rPr>
            </w:pPr>
            <w:r>
              <w:rPr>
                <w:rFonts w:cs="Arial"/>
                <w:color w:val="000000"/>
                <w:sz w:val="22"/>
              </w:rPr>
              <w:t>Sprijinirea fermierilor</w:t>
            </w:r>
          </w:p>
        </w:tc>
        <w:tc>
          <w:tcPr>
            <w:tcW w:w="1350" w:type="dxa"/>
          </w:tcPr>
          <w:p w14:paraId="5F7A89FC">
            <w:pPr>
              <w:tabs>
                <w:tab w:val="left" w:pos="1848"/>
              </w:tabs>
              <w:spacing w:line="276" w:lineRule="auto"/>
              <w:ind w:firstLine="0"/>
              <w:jc w:val="left"/>
              <w:rPr>
                <w:rFonts w:cs="Arial"/>
                <w:sz w:val="22"/>
              </w:rPr>
            </w:pPr>
            <w:r>
              <w:rPr>
                <w:rFonts w:eastAsia="SimSun" w:cs="Arial"/>
                <w:sz w:val="22"/>
                <w:lang w:val="lt-LT"/>
              </w:rPr>
              <w:t>FEADR (Măsura 4.4) și PNRR (Componenta Agricultură)</w:t>
            </w:r>
          </w:p>
        </w:tc>
        <w:tc>
          <w:tcPr>
            <w:tcW w:w="1170" w:type="dxa"/>
          </w:tcPr>
          <w:p w14:paraId="7B0C79E9">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28ADD908">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2030</w:t>
            </w:r>
          </w:p>
        </w:tc>
        <w:tc>
          <w:tcPr>
            <w:tcW w:w="684" w:type="dxa"/>
          </w:tcPr>
          <w:p w14:paraId="306BC546">
            <w:pPr>
              <w:tabs>
                <w:tab w:val="left" w:pos="1848"/>
              </w:tabs>
              <w:spacing w:line="276" w:lineRule="auto"/>
              <w:rPr>
                <w:rFonts w:cs="Arial"/>
                <w:sz w:val="22"/>
              </w:rPr>
            </w:pPr>
          </w:p>
        </w:tc>
        <w:tc>
          <w:tcPr>
            <w:tcW w:w="734" w:type="dxa"/>
          </w:tcPr>
          <w:p w14:paraId="317BDF34">
            <w:pPr>
              <w:tabs>
                <w:tab w:val="left" w:pos="1848"/>
              </w:tabs>
              <w:spacing w:line="276" w:lineRule="auto"/>
              <w:rPr>
                <w:rFonts w:cs="Arial"/>
                <w:sz w:val="22"/>
              </w:rPr>
            </w:pPr>
            <w:r>
              <w:rPr>
                <w:rFonts w:cs="Arial"/>
                <w:sz w:val="22"/>
              </w:rPr>
              <w:t>xx</w:t>
            </w:r>
          </w:p>
        </w:tc>
      </w:tr>
      <w:tr w14:paraId="7AA1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2FCBCF48">
            <w:pPr>
              <w:spacing w:line="276" w:lineRule="auto"/>
              <w:ind w:firstLine="0"/>
              <w:rPr>
                <w:rFonts w:cs="Arial"/>
                <w:sz w:val="22"/>
              </w:rPr>
            </w:pPr>
            <w:r>
              <w:rPr>
                <w:rFonts w:cs="Arial"/>
                <w:sz w:val="22"/>
              </w:rPr>
              <w:t>27</w:t>
            </w:r>
          </w:p>
        </w:tc>
        <w:tc>
          <w:tcPr>
            <w:tcW w:w="3330" w:type="dxa"/>
          </w:tcPr>
          <w:p w14:paraId="38DBC46A">
            <w:pPr>
              <w:spacing w:line="276" w:lineRule="auto"/>
              <w:ind w:firstLine="0"/>
              <w:jc w:val="left"/>
              <w:rPr>
                <w:rFonts w:cs="Arial"/>
                <w:sz w:val="22"/>
              </w:rPr>
            </w:pPr>
            <w:r>
              <w:rPr>
                <w:rFonts w:cs="Arial"/>
                <w:sz w:val="22"/>
              </w:rPr>
              <w:t>Promovare și restaurare Cula lui Tudor Vladimirescu</w:t>
            </w:r>
          </w:p>
        </w:tc>
        <w:tc>
          <w:tcPr>
            <w:tcW w:w="2790" w:type="dxa"/>
          </w:tcPr>
          <w:p w14:paraId="25F71D65">
            <w:pPr>
              <w:autoSpaceDE w:val="0"/>
              <w:autoSpaceDN w:val="0"/>
              <w:adjustRightInd w:val="0"/>
              <w:spacing w:line="276" w:lineRule="auto"/>
              <w:ind w:firstLine="0"/>
              <w:rPr>
                <w:rFonts w:cs="Arial"/>
                <w:color w:val="000000"/>
                <w:sz w:val="22"/>
              </w:rPr>
            </w:pPr>
            <w:r>
              <w:rPr>
                <w:rFonts w:cs="Arial"/>
                <w:color w:val="000000"/>
                <w:sz w:val="22"/>
              </w:rPr>
              <w:t>Restaurarea obiectivului conform principiilor conservării autentice și durabile</w:t>
            </w:r>
          </w:p>
          <w:p w14:paraId="142F635E">
            <w:pPr>
              <w:tabs>
                <w:tab w:val="left" w:pos="1848"/>
              </w:tabs>
              <w:spacing w:line="276" w:lineRule="auto"/>
              <w:ind w:firstLine="0"/>
              <w:jc w:val="left"/>
              <w:rPr>
                <w:rFonts w:cs="Arial"/>
                <w:sz w:val="22"/>
              </w:rPr>
            </w:pPr>
            <w:r>
              <w:rPr>
                <w:rFonts w:cs="Arial"/>
                <w:sz w:val="22"/>
              </w:rPr>
              <w:t>Dezvoltarea de infrastructură pentru vizitatori (panouri informative, trasee tematice, accesibilizare).</w:t>
            </w:r>
          </w:p>
          <w:p w14:paraId="7903BF0C">
            <w:pPr>
              <w:tabs>
                <w:tab w:val="left" w:pos="1848"/>
              </w:tabs>
              <w:spacing w:line="276" w:lineRule="auto"/>
              <w:ind w:firstLine="0"/>
              <w:jc w:val="left"/>
              <w:rPr>
                <w:rFonts w:cs="Arial"/>
                <w:sz w:val="22"/>
              </w:rPr>
            </w:pPr>
            <w:r>
              <w:rPr>
                <w:rFonts w:cs="Arial"/>
                <w:sz w:val="22"/>
              </w:rPr>
              <w:t>Promovarea obiectivului prin mijloace digitale, tipărituri și evenimente.</w:t>
            </w:r>
          </w:p>
          <w:p w14:paraId="1FC52E84">
            <w:pPr>
              <w:tabs>
                <w:tab w:val="left" w:pos="1848"/>
              </w:tabs>
              <w:spacing w:line="276" w:lineRule="auto"/>
              <w:ind w:firstLine="0"/>
              <w:jc w:val="left"/>
              <w:rPr>
                <w:rFonts w:cs="Arial"/>
                <w:sz w:val="22"/>
              </w:rPr>
            </w:pPr>
            <w:r>
              <w:rPr>
                <w:rFonts w:cs="Arial"/>
                <w:sz w:val="22"/>
              </w:rPr>
              <w:t>Creșterea gradului de conștientizare a valorii patrimoniului în rândul publicului local și regional.</w:t>
            </w:r>
          </w:p>
          <w:p w14:paraId="6A963ADE">
            <w:pPr>
              <w:tabs>
                <w:tab w:val="left" w:pos="1848"/>
              </w:tabs>
              <w:spacing w:line="276" w:lineRule="auto"/>
              <w:ind w:firstLine="0"/>
              <w:jc w:val="left"/>
              <w:rPr>
                <w:rFonts w:cs="Arial"/>
                <w:b/>
                <w:bCs/>
                <w:sz w:val="22"/>
              </w:rPr>
            </w:pPr>
            <w:r>
              <w:rPr>
                <w:rFonts w:cs="Arial"/>
                <w:b/>
                <w:bCs/>
                <w:sz w:val="22"/>
              </w:rPr>
              <w:t>Activități</w:t>
            </w:r>
          </w:p>
          <w:p w14:paraId="205D4A57">
            <w:pPr>
              <w:tabs>
                <w:tab w:val="left" w:pos="1848"/>
              </w:tabs>
              <w:spacing w:line="276" w:lineRule="auto"/>
              <w:ind w:firstLine="0"/>
              <w:jc w:val="left"/>
              <w:rPr>
                <w:rFonts w:cs="Arial"/>
                <w:sz w:val="22"/>
              </w:rPr>
            </w:pPr>
            <w:r>
              <w:rPr>
                <w:rFonts w:cs="Arial"/>
                <w:sz w:val="22"/>
              </w:rPr>
              <w:t>Documentare, cercetare și pregătirea restaurării</w:t>
            </w:r>
          </w:p>
          <w:p w14:paraId="35F9B077">
            <w:pPr>
              <w:tabs>
                <w:tab w:val="left" w:pos="1848"/>
              </w:tabs>
              <w:spacing w:line="276" w:lineRule="auto"/>
              <w:ind w:firstLine="0"/>
              <w:jc w:val="left"/>
              <w:rPr>
                <w:rFonts w:cs="Arial"/>
                <w:sz w:val="22"/>
              </w:rPr>
            </w:pPr>
            <w:r>
              <w:rPr>
                <w:rFonts w:cs="Arial"/>
                <w:sz w:val="22"/>
              </w:rPr>
              <w:t>Lucrări de restaurare și conservare</w:t>
            </w:r>
          </w:p>
          <w:p w14:paraId="46F39C4C">
            <w:pPr>
              <w:tabs>
                <w:tab w:val="left" w:pos="1848"/>
              </w:tabs>
              <w:spacing w:line="276" w:lineRule="auto"/>
              <w:ind w:firstLine="0"/>
              <w:jc w:val="left"/>
              <w:rPr>
                <w:rFonts w:cs="Arial"/>
                <w:sz w:val="22"/>
              </w:rPr>
            </w:pPr>
            <w:r>
              <w:rPr>
                <w:rFonts w:cs="Arial"/>
                <w:sz w:val="22"/>
              </w:rPr>
              <w:t>Infrastructură de vizitare</w:t>
            </w:r>
          </w:p>
          <w:p w14:paraId="0ABFEC00">
            <w:pPr>
              <w:tabs>
                <w:tab w:val="left" w:pos="1848"/>
              </w:tabs>
              <w:spacing w:line="276" w:lineRule="auto"/>
              <w:ind w:firstLine="0"/>
              <w:jc w:val="left"/>
              <w:rPr>
                <w:rFonts w:cs="Arial"/>
                <w:sz w:val="22"/>
              </w:rPr>
            </w:pPr>
            <w:r>
              <w:rPr>
                <w:rFonts w:cs="Arial"/>
                <w:sz w:val="22"/>
              </w:rPr>
              <w:t>Activități de promovare</w:t>
            </w:r>
          </w:p>
          <w:p w14:paraId="620AE661">
            <w:pPr>
              <w:autoSpaceDE w:val="0"/>
              <w:autoSpaceDN w:val="0"/>
              <w:adjustRightInd w:val="0"/>
              <w:spacing w:line="276" w:lineRule="auto"/>
              <w:ind w:firstLine="0"/>
              <w:jc w:val="left"/>
              <w:rPr>
                <w:rFonts w:cs="Arial"/>
                <w:color w:val="000000"/>
                <w:sz w:val="22"/>
              </w:rPr>
            </w:pPr>
            <w:r>
              <w:rPr>
                <w:rFonts w:cs="Arial"/>
                <w:sz w:val="22"/>
              </w:rPr>
              <w:t>Educație și implicarea comunității</w:t>
            </w:r>
          </w:p>
        </w:tc>
        <w:tc>
          <w:tcPr>
            <w:tcW w:w="1350" w:type="dxa"/>
          </w:tcPr>
          <w:p w14:paraId="57350934">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28AEF44C">
            <w:pPr>
              <w:tabs>
                <w:tab w:val="left" w:pos="1848"/>
              </w:tabs>
              <w:spacing w:line="276" w:lineRule="auto"/>
              <w:ind w:firstLine="0"/>
              <w:rPr>
                <w:rFonts w:cs="Arial"/>
                <w:sz w:val="22"/>
              </w:rPr>
            </w:pPr>
            <w:r>
              <w:rPr>
                <w:rFonts w:cs="Arial"/>
                <w:sz w:val="22"/>
              </w:rPr>
              <w:t>Nr. Contract 7/24.10.2022</w:t>
            </w:r>
          </w:p>
        </w:tc>
        <w:tc>
          <w:tcPr>
            <w:tcW w:w="1026" w:type="dxa"/>
          </w:tcPr>
          <w:p w14:paraId="5ADECA5F">
            <w:pPr>
              <w:tabs>
                <w:tab w:val="left" w:pos="1848"/>
              </w:tabs>
              <w:spacing w:line="276" w:lineRule="auto"/>
              <w:ind w:firstLine="0"/>
              <w:rPr>
                <w:rFonts w:cs="Arial"/>
                <w:sz w:val="22"/>
              </w:rPr>
            </w:pPr>
            <w:r>
              <w:rPr>
                <w:rFonts w:cs="Arial"/>
                <w:sz w:val="22"/>
              </w:rPr>
              <w:t>30.06.2026</w:t>
            </w:r>
          </w:p>
        </w:tc>
        <w:tc>
          <w:tcPr>
            <w:tcW w:w="684" w:type="dxa"/>
          </w:tcPr>
          <w:p w14:paraId="30067248">
            <w:pPr>
              <w:tabs>
                <w:tab w:val="left" w:pos="1848"/>
              </w:tabs>
              <w:spacing w:line="276" w:lineRule="auto"/>
              <w:rPr>
                <w:rFonts w:cs="Arial"/>
                <w:sz w:val="22"/>
              </w:rPr>
            </w:pPr>
          </w:p>
        </w:tc>
        <w:tc>
          <w:tcPr>
            <w:tcW w:w="734" w:type="dxa"/>
          </w:tcPr>
          <w:p w14:paraId="2B7CD52E">
            <w:pPr>
              <w:tabs>
                <w:tab w:val="left" w:pos="1848"/>
              </w:tabs>
              <w:spacing w:line="276" w:lineRule="auto"/>
              <w:rPr>
                <w:rFonts w:cs="Arial"/>
                <w:sz w:val="22"/>
              </w:rPr>
            </w:pPr>
          </w:p>
          <w:p w14:paraId="025B10D9">
            <w:pPr>
              <w:tabs>
                <w:tab w:val="left" w:pos="1848"/>
              </w:tabs>
              <w:spacing w:line="276" w:lineRule="auto"/>
              <w:rPr>
                <w:rFonts w:cs="Arial"/>
                <w:sz w:val="22"/>
              </w:rPr>
            </w:pPr>
            <w:r>
              <w:rPr>
                <w:rFonts w:cs="Arial"/>
                <w:sz w:val="22"/>
              </w:rPr>
              <w:t>xx</w:t>
            </w:r>
          </w:p>
        </w:tc>
      </w:tr>
      <w:tr w14:paraId="76B2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535" w:type="dxa"/>
          </w:tcPr>
          <w:p w14:paraId="098B016C">
            <w:pPr>
              <w:spacing w:line="276" w:lineRule="auto"/>
              <w:rPr>
                <w:rFonts w:cs="Arial"/>
                <w:sz w:val="22"/>
              </w:rPr>
            </w:pPr>
            <w:r>
              <w:rPr>
                <w:rFonts w:cs="Arial"/>
                <w:sz w:val="22"/>
              </w:rPr>
              <w:t>228</w:t>
            </w:r>
          </w:p>
        </w:tc>
        <w:tc>
          <w:tcPr>
            <w:tcW w:w="3330" w:type="dxa"/>
          </w:tcPr>
          <w:p w14:paraId="34C239CB">
            <w:pPr>
              <w:spacing w:line="276" w:lineRule="auto"/>
              <w:ind w:firstLine="0"/>
              <w:jc w:val="left"/>
              <w:rPr>
                <w:rFonts w:cs="Arial"/>
                <w:sz w:val="22"/>
              </w:rPr>
            </w:pPr>
            <w:r>
              <w:rPr>
                <w:rFonts w:cs="Arial"/>
                <w:sz w:val="22"/>
              </w:rPr>
              <w:t>Promovare și restaurare Cula Nistor</w:t>
            </w:r>
          </w:p>
        </w:tc>
        <w:tc>
          <w:tcPr>
            <w:tcW w:w="2790" w:type="dxa"/>
          </w:tcPr>
          <w:p w14:paraId="060DAA0F">
            <w:pPr>
              <w:autoSpaceDE w:val="0"/>
              <w:autoSpaceDN w:val="0"/>
              <w:adjustRightInd w:val="0"/>
              <w:spacing w:line="276" w:lineRule="auto"/>
              <w:ind w:firstLine="0"/>
              <w:rPr>
                <w:rFonts w:cs="Arial"/>
                <w:color w:val="000000"/>
                <w:sz w:val="22"/>
              </w:rPr>
            </w:pPr>
            <w:r>
              <w:rPr>
                <w:rFonts w:cs="Arial"/>
                <w:color w:val="000000"/>
                <w:sz w:val="22"/>
              </w:rPr>
              <w:t>Restaurarea obiectivului conform principiilor conservării autentice și durabile</w:t>
            </w:r>
          </w:p>
          <w:p w14:paraId="5541B287">
            <w:pPr>
              <w:tabs>
                <w:tab w:val="left" w:pos="1848"/>
              </w:tabs>
              <w:spacing w:line="276" w:lineRule="auto"/>
              <w:ind w:firstLine="0"/>
              <w:jc w:val="left"/>
              <w:rPr>
                <w:rFonts w:cs="Arial"/>
                <w:sz w:val="22"/>
              </w:rPr>
            </w:pPr>
            <w:r>
              <w:rPr>
                <w:rFonts w:cs="Arial"/>
                <w:sz w:val="22"/>
              </w:rPr>
              <w:t>Dezvoltarea de infrastructură pentru vizitatori (panouri informative, trasee tematice, accesibilizare).</w:t>
            </w:r>
          </w:p>
          <w:p w14:paraId="546ABDE8">
            <w:pPr>
              <w:tabs>
                <w:tab w:val="left" w:pos="1848"/>
              </w:tabs>
              <w:spacing w:line="276" w:lineRule="auto"/>
              <w:ind w:firstLine="0"/>
              <w:jc w:val="left"/>
              <w:rPr>
                <w:rFonts w:cs="Arial"/>
                <w:sz w:val="22"/>
              </w:rPr>
            </w:pPr>
            <w:r>
              <w:rPr>
                <w:rFonts w:cs="Arial"/>
                <w:sz w:val="22"/>
              </w:rPr>
              <w:t>Promovarea obiectivului prin mijloace digitale, tipărituri și evenimente.</w:t>
            </w:r>
          </w:p>
          <w:p w14:paraId="1E045775">
            <w:pPr>
              <w:tabs>
                <w:tab w:val="left" w:pos="1848"/>
              </w:tabs>
              <w:spacing w:line="276" w:lineRule="auto"/>
              <w:ind w:firstLine="0"/>
              <w:jc w:val="left"/>
              <w:rPr>
                <w:rFonts w:cs="Arial"/>
                <w:sz w:val="22"/>
              </w:rPr>
            </w:pPr>
            <w:r>
              <w:rPr>
                <w:rFonts w:cs="Arial"/>
                <w:sz w:val="22"/>
              </w:rPr>
              <w:t>Creșterea gradului de conștientizare a valorii patrimoniului în rândul publicului local și regional.</w:t>
            </w:r>
          </w:p>
          <w:p w14:paraId="279BE5BE">
            <w:pPr>
              <w:tabs>
                <w:tab w:val="left" w:pos="1848"/>
              </w:tabs>
              <w:spacing w:line="276" w:lineRule="auto"/>
              <w:ind w:firstLine="0"/>
              <w:jc w:val="left"/>
              <w:rPr>
                <w:rFonts w:cs="Arial"/>
                <w:b/>
                <w:bCs/>
                <w:sz w:val="22"/>
              </w:rPr>
            </w:pPr>
            <w:r>
              <w:rPr>
                <w:rFonts w:cs="Arial"/>
                <w:b/>
                <w:bCs/>
                <w:sz w:val="22"/>
              </w:rPr>
              <w:t>Activități</w:t>
            </w:r>
          </w:p>
          <w:p w14:paraId="22C97361">
            <w:pPr>
              <w:tabs>
                <w:tab w:val="left" w:pos="1848"/>
              </w:tabs>
              <w:spacing w:line="276" w:lineRule="auto"/>
              <w:ind w:firstLine="0"/>
              <w:jc w:val="left"/>
              <w:rPr>
                <w:rFonts w:cs="Arial"/>
                <w:sz w:val="22"/>
              </w:rPr>
            </w:pPr>
            <w:r>
              <w:rPr>
                <w:rFonts w:cs="Arial"/>
                <w:sz w:val="22"/>
              </w:rPr>
              <w:t>Documentare, cercetare și pregătirea restaurării</w:t>
            </w:r>
          </w:p>
          <w:p w14:paraId="255C2369">
            <w:pPr>
              <w:tabs>
                <w:tab w:val="left" w:pos="1848"/>
              </w:tabs>
              <w:spacing w:line="276" w:lineRule="auto"/>
              <w:ind w:firstLine="0"/>
              <w:jc w:val="left"/>
              <w:rPr>
                <w:rFonts w:cs="Arial"/>
                <w:sz w:val="22"/>
              </w:rPr>
            </w:pPr>
            <w:r>
              <w:rPr>
                <w:rFonts w:cs="Arial"/>
                <w:sz w:val="22"/>
              </w:rPr>
              <w:t>Lucrări de restaurare și conservare</w:t>
            </w:r>
          </w:p>
          <w:p w14:paraId="5AC73E72">
            <w:pPr>
              <w:tabs>
                <w:tab w:val="left" w:pos="1848"/>
              </w:tabs>
              <w:spacing w:line="276" w:lineRule="auto"/>
              <w:ind w:firstLine="0"/>
              <w:jc w:val="left"/>
              <w:rPr>
                <w:rFonts w:cs="Arial"/>
                <w:sz w:val="22"/>
              </w:rPr>
            </w:pPr>
            <w:r>
              <w:rPr>
                <w:rFonts w:cs="Arial"/>
                <w:sz w:val="22"/>
              </w:rPr>
              <w:t>Infrastructură de vizitare</w:t>
            </w:r>
          </w:p>
          <w:p w14:paraId="28B38A4F">
            <w:pPr>
              <w:tabs>
                <w:tab w:val="left" w:pos="1848"/>
              </w:tabs>
              <w:spacing w:line="276" w:lineRule="auto"/>
              <w:ind w:firstLine="0"/>
              <w:jc w:val="left"/>
              <w:rPr>
                <w:rFonts w:cs="Arial"/>
                <w:sz w:val="22"/>
              </w:rPr>
            </w:pPr>
            <w:r>
              <w:rPr>
                <w:rFonts w:cs="Arial"/>
                <w:sz w:val="22"/>
              </w:rPr>
              <w:t>Activități de promovare</w:t>
            </w:r>
          </w:p>
          <w:p w14:paraId="1A2FE502">
            <w:pPr>
              <w:autoSpaceDE w:val="0"/>
              <w:autoSpaceDN w:val="0"/>
              <w:adjustRightInd w:val="0"/>
              <w:spacing w:line="276" w:lineRule="auto"/>
              <w:ind w:firstLine="0"/>
              <w:rPr>
                <w:rFonts w:cs="Arial"/>
                <w:color w:val="000000"/>
                <w:sz w:val="22"/>
              </w:rPr>
            </w:pPr>
            <w:r>
              <w:rPr>
                <w:rFonts w:cs="Arial"/>
                <w:sz w:val="22"/>
              </w:rPr>
              <w:t>Educație și implicarea comunității</w:t>
            </w:r>
          </w:p>
        </w:tc>
        <w:tc>
          <w:tcPr>
            <w:tcW w:w="1350" w:type="dxa"/>
          </w:tcPr>
          <w:p w14:paraId="3A714369">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24A056D9">
            <w:pPr>
              <w:tabs>
                <w:tab w:val="left" w:pos="1848"/>
              </w:tabs>
              <w:spacing w:line="276" w:lineRule="auto"/>
              <w:ind w:firstLine="0"/>
              <w:rPr>
                <w:rFonts w:cs="Arial"/>
                <w:sz w:val="22"/>
              </w:rPr>
            </w:pPr>
            <w:r>
              <w:rPr>
                <w:rFonts w:cs="Arial"/>
                <w:sz w:val="22"/>
              </w:rPr>
              <w:t>NR. Contract</w:t>
            </w:r>
          </w:p>
          <w:p w14:paraId="36309674">
            <w:pPr>
              <w:tabs>
                <w:tab w:val="left" w:pos="1848"/>
              </w:tabs>
              <w:spacing w:line="276" w:lineRule="auto"/>
              <w:ind w:firstLine="0"/>
              <w:rPr>
                <w:rFonts w:cs="Arial"/>
                <w:sz w:val="22"/>
              </w:rPr>
            </w:pPr>
            <w:r>
              <w:rPr>
                <w:rFonts w:cs="Arial"/>
                <w:sz w:val="22"/>
              </w:rPr>
              <w:t>20.3/I1/C11</w:t>
            </w:r>
          </w:p>
          <w:p w14:paraId="2633EA23">
            <w:pPr>
              <w:tabs>
                <w:tab w:val="left" w:pos="1848"/>
              </w:tabs>
              <w:spacing w:line="276" w:lineRule="auto"/>
              <w:ind w:firstLine="0"/>
              <w:rPr>
                <w:rFonts w:cs="Arial"/>
                <w:sz w:val="22"/>
              </w:rPr>
            </w:pPr>
            <w:r>
              <w:rPr>
                <w:rFonts w:cs="Arial"/>
                <w:sz w:val="22"/>
              </w:rPr>
              <w:t>76575/11.05.2023</w:t>
            </w:r>
          </w:p>
        </w:tc>
        <w:tc>
          <w:tcPr>
            <w:tcW w:w="1026" w:type="dxa"/>
          </w:tcPr>
          <w:p w14:paraId="30AA1622">
            <w:pPr>
              <w:tabs>
                <w:tab w:val="left" w:pos="1848"/>
              </w:tabs>
              <w:spacing w:line="276" w:lineRule="auto"/>
              <w:ind w:firstLine="0"/>
              <w:rPr>
                <w:rFonts w:cs="Arial"/>
                <w:sz w:val="22"/>
              </w:rPr>
            </w:pPr>
            <w:r>
              <w:rPr>
                <w:rFonts w:cs="Arial"/>
                <w:sz w:val="22"/>
              </w:rPr>
              <w:t>30.06.2026</w:t>
            </w:r>
          </w:p>
        </w:tc>
        <w:tc>
          <w:tcPr>
            <w:tcW w:w="684" w:type="dxa"/>
          </w:tcPr>
          <w:p w14:paraId="081FF2E4">
            <w:pPr>
              <w:tabs>
                <w:tab w:val="left" w:pos="1848"/>
              </w:tabs>
              <w:spacing w:line="276" w:lineRule="auto"/>
              <w:rPr>
                <w:rFonts w:cs="Arial"/>
                <w:sz w:val="22"/>
              </w:rPr>
            </w:pPr>
          </w:p>
        </w:tc>
        <w:tc>
          <w:tcPr>
            <w:tcW w:w="734" w:type="dxa"/>
          </w:tcPr>
          <w:p w14:paraId="4CB5D4D1">
            <w:pPr>
              <w:tabs>
                <w:tab w:val="left" w:pos="1848"/>
              </w:tabs>
              <w:spacing w:line="276" w:lineRule="auto"/>
              <w:rPr>
                <w:rFonts w:cs="Arial"/>
                <w:sz w:val="22"/>
              </w:rPr>
            </w:pPr>
            <w:r>
              <w:rPr>
                <w:rFonts w:cs="Arial"/>
                <w:sz w:val="22"/>
              </w:rPr>
              <w:t>xx</w:t>
            </w:r>
          </w:p>
        </w:tc>
      </w:tr>
      <w:tr w14:paraId="2538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619" w:type="dxa"/>
            <w:gridSpan w:val="8"/>
          </w:tcPr>
          <w:p w14:paraId="298F3319">
            <w:pPr>
              <w:pStyle w:val="4"/>
              <w:ind w:firstLine="0"/>
              <w:rPr>
                <w:rFonts w:cs="Arial"/>
                <w:sz w:val="22"/>
                <w:szCs w:val="22"/>
                <w:lang w:val="ro-RO"/>
              </w:rPr>
            </w:pPr>
            <w:bookmarkStart w:id="94" w:name="_Toc201926354"/>
            <w:r>
              <w:rPr>
                <w:rFonts w:cs="Arial"/>
                <w:sz w:val="22"/>
                <w:szCs w:val="22"/>
                <w:lang w:val="ro-RO"/>
              </w:rPr>
              <w:t>DIRECȚIA STRATEGICĂ 3 - Protecția mediului și tranziția către o economie verde</w:t>
            </w:r>
            <w:bookmarkEnd w:id="94"/>
          </w:p>
          <w:p w14:paraId="75A80ED6">
            <w:pPr>
              <w:tabs>
                <w:tab w:val="left" w:pos="1848"/>
              </w:tabs>
              <w:ind w:firstLine="0"/>
              <w:rPr>
                <w:rFonts w:cs="Arial"/>
                <w:sz w:val="22"/>
                <w:lang w:val="ro-RO"/>
              </w:rPr>
            </w:pPr>
            <w:r>
              <w:rPr>
                <w:rFonts w:cs="Arial"/>
                <w:b/>
                <w:bCs/>
                <w:color w:val="2E75B6" w:themeColor="accent5" w:themeShade="BF"/>
                <w:sz w:val="22"/>
                <w:lang w:val="ro-RO"/>
              </w:rPr>
              <w:t xml:space="preserve">Obiectivul strategic nr. 3 – </w:t>
            </w:r>
            <w:r>
              <w:rPr>
                <w:rFonts w:cs="Arial"/>
                <w:sz w:val="22"/>
                <w:lang w:val="ro-RO"/>
              </w:rPr>
              <w:t xml:space="preserve">Implementarea de proiecte pentru gestionarea eficientă a deșeurilor, protejarea biodiversității, utilizarea energiilor regenerabile și adaptarea la schimbările climatice </w:t>
            </w:r>
          </w:p>
          <w:p w14:paraId="5352A961">
            <w:pPr>
              <w:tabs>
                <w:tab w:val="left" w:pos="1848"/>
              </w:tabs>
              <w:spacing w:line="276" w:lineRule="auto"/>
              <w:jc w:val="center"/>
              <w:rPr>
                <w:rFonts w:cs="Arial"/>
                <w:sz w:val="22"/>
              </w:rPr>
            </w:pPr>
          </w:p>
        </w:tc>
      </w:tr>
      <w:tr w14:paraId="4BD8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101B2506">
            <w:pPr>
              <w:spacing w:line="276" w:lineRule="auto"/>
              <w:rPr>
                <w:rFonts w:cs="Arial"/>
                <w:sz w:val="22"/>
              </w:rPr>
            </w:pPr>
            <w:r>
              <w:rPr>
                <w:rFonts w:cs="Arial"/>
                <w:sz w:val="22"/>
              </w:rPr>
              <w:t>129</w:t>
            </w:r>
          </w:p>
        </w:tc>
        <w:tc>
          <w:tcPr>
            <w:tcW w:w="3330" w:type="dxa"/>
          </w:tcPr>
          <w:p w14:paraId="7C681BBC">
            <w:pPr>
              <w:tabs>
                <w:tab w:val="left" w:pos="1461"/>
              </w:tabs>
              <w:spacing w:line="276" w:lineRule="auto"/>
              <w:ind w:firstLine="0"/>
              <w:jc w:val="left"/>
              <w:rPr>
                <w:rFonts w:cs="Arial"/>
                <w:sz w:val="22"/>
              </w:rPr>
            </w:pPr>
            <w:r>
              <w:rPr>
                <w:rFonts w:cs="Arial"/>
                <w:sz w:val="22"/>
              </w:rPr>
              <w:t>Reabilitare energetică a clădirilor rezidentiale, zona 1, Comuna Șimian, Județul Mehedinți</w:t>
            </w:r>
          </w:p>
        </w:tc>
        <w:tc>
          <w:tcPr>
            <w:tcW w:w="2790" w:type="dxa"/>
          </w:tcPr>
          <w:p w14:paraId="069D7CBA">
            <w:pPr>
              <w:pStyle w:val="42"/>
              <w:spacing w:line="276" w:lineRule="auto"/>
              <w:rPr>
                <w:sz w:val="22"/>
                <w:szCs w:val="22"/>
              </w:rPr>
            </w:pPr>
            <w:r>
              <w:rPr>
                <w:sz w:val="22"/>
                <w:szCs w:val="22"/>
              </w:rPr>
              <w:t>Creșterea eficienței energetice a clădirilor rezidențiale prin lucrări de reabilitare</w:t>
            </w:r>
          </w:p>
          <w:p w14:paraId="62C69BF9">
            <w:pPr>
              <w:ind w:firstLine="0"/>
              <w:jc w:val="left"/>
              <w:rPr>
                <w:rFonts w:cs="Arial"/>
                <w:color w:val="000000"/>
                <w:sz w:val="22"/>
              </w:rPr>
            </w:pPr>
            <w:r>
              <w:rPr>
                <w:rFonts w:cs="Arial"/>
                <w:color w:val="000000"/>
                <w:sz w:val="22"/>
              </w:rPr>
              <w:t>Reducerea consumului de energie și a emisiilor de gaze cu efect de seră.</w:t>
            </w:r>
          </w:p>
          <w:p w14:paraId="785A8655">
            <w:pPr>
              <w:pStyle w:val="42"/>
              <w:spacing w:line="276" w:lineRule="auto"/>
              <w:rPr>
                <w:sz w:val="22"/>
                <w:szCs w:val="22"/>
              </w:rPr>
            </w:pPr>
            <w:r>
              <w:rPr>
                <w:sz w:val="22"/>
                <w:szCs w:val="22"/>
              </w:rPr>
              <w:t>Reducerea costurilor de întreținere și a facturilor la energie</w:t>
            </w:r>
          </w:p>
          <w:p w14:paraId="43E053C7">
            <w:pPr>
              <w:pStyle w:val="42"/>
              <w:spacing w:line="276" w:lineRule="auto"/>
              <w:rPr>
                <w:b/>
                <w:bCs/>
                <w:sz w:val="22"/>
                <w:szCs w:val="22"/>
              </w:rPr>
            </w:pPr>
            <w:r>
              <w:rPr>
                <w:b/>
                <w:bCs/>
                <w:sz w:val="22"/>
                <w:szCs w:val="22"/>
              </w:rPr>
              <w:t>Activități</w:t>
            </w:r>
          </w:p>
          <w:p w14:paraId="0FFADE86">
            <w:pPr>
              <w:pStyle w:val="42"/>
              <w:spacing w:line="276" w:lineRule="auto"/>
              <w:rPr>
                <w:sz w:val="22"/>
                <w:szCs w:val="22"/>
              </w:rPr>
            </w:pPr>
            <w:r>
              <w:rPr>
                <w:sz w:val="22"/>
                <w:szCs w:val="22"/>
              </w:rPr>
              <w:t>Etapa de pregătire și documentare</w:t>
            </w:r>
          </w:p>
          <w:p w14:paraId="26377D5E">
            <w:pPr>
              <w:pStyle w:val="42"/>
              <w:spacing w:line="276" w:lineRule="auto"/>
              <w:rPr>
                <w:sz w:val="22"/>
                <w:szCs w:val="22"/>
              </w:rPr>
            </w:pPr>
            <w:r>
              <w:rPr>
                <w:sz w:val="22"/>
                <w:szCs w:val="22"/>
              </w:rPr>
              <w:t>Lucrări de intervenție asupra anvelopei clădirii</w:t>
            </w:r>
          </w:p>
          <w:p w14:paraId="7AE86724">
            <w:pPr>
              <w:tabs>
                <w:tab w:val="left" w:pos="1848"/>
              </w:tabs>
              <w:spacing w:line="276" w:lineRule="auto"/>
              <w:ind w:firstLine="0"/>
              <w:jc w:val="left"/>
              <w:rPr>
                <w:rFonts w:cs="Arial"/>
                <w:sz w:val="22"/>
              </w:rPr>
            </w:pPr>
            <w:r>
              <w:rPr>
                <w:rFonts w:cs="Arial"/>
                <w:sz w:val="22"/>
              </w:rPr>
              <w:t>Lucrări auxiliare și măsuri de siguranță</w:t>
            </w:r>
          </w:p>
        </w:tc>
        <w:tc>
          <w:tcPr>
            <w:tcW w:w="1350" w:type="dxa"/>
          </w:tcPr>
          <w:p w14:paraId="40C9C20B">
            <w:pPr>
              <w:tabs>
                <w:tab w:val="left" w:pos="1848"/>
              </w:tabs>
              <w:spacing w:line="276" w:lineRule="auto"/>
              <w:ind w:firstLine="0"/>
              <w:jc w:val="left"/>
              <w:rPr>
                <w:rFonts w:cs="Arial"/>
                <w:sz w:val="22"/>
              </w:rPr>
            </w:pPr>
            <w:r>
              <w:rPr>
                <w:rFonts w:cs="Arial"/>
                <w:sz w:val="22"/>
                <w:lang w:val="ro-RO"/>
              </w:rPr>
              <w:t>Buget de Stat(MDLPA)/Fonduri Europene (PNRR)</w:t>
            </w:r>
          </w:p>
        </w:tc>
        <w:tc>
          <w:tcPr>
            <w:tcW w:w="1170" w:type="dxa"/>
          </w:tcPr>
          <w:p w14:paraId="2BCD3B8B">
            <w:pPr>
              <w:tabs>
                <w:tab w:val="left" w:pos="1848"/>
              </w:tabs>
              <w:spacing w:line="276" w:lineRule="auto"/>
              <w:ind w:firstLine="0"/>
              <w:rPr>
                <w:rFonts w:cs="Arial"/>
                <w:sz w:val="22"/>
              </w:rPr>
            </w:pPr>
            <w:r>
              <w:rPr>
                <w:rFonts w:cs="Arial"/>
                <w:sz w:val="22"/>
              </w:rPr>
              <w:t>În implementare-</w:t>
            </w:r>
          </w:p>
          <w:p w14:paraId="4BD1705F">
            <w:pPr>
              <w:tabs>
                <w:tab w:val="left" w:pos="1848"/>
              </w:tabs>
              <w:spacing w:line="276" w:lineRule="auto"/>
              <w:ind w:firstLine="0"/>
              <w:rPr>
                <w:rFonts w:cs="Arial"/>
                <w:sz w:val="22"/>
              </w:rPr>
            </w:pPr>
            <w:r>
              <w:rPr>
                <w:rFonts w:cs="Arial"/>
                <w:sz w:val="22"/>
              </w:rPr>
              <w:t>Nr.contract 143667/19.12.2022</w:t>
            </w:r>
          </w:p>
        </w:tc>
        <w:tc>
          <w:tcPr>
            <w:tcW w:w="1026" w:type="dxa"/>
          </w:tcPr>
          <w:p w14:paraId="3CD0C993">
            <w:pPr>
              <w:tabs>
                <w:tab w:val="left" w:pos="1848"/>
              </w:tabs>
              <w:spacing w:line="276" w:lineRule="auto"/>
              <w:ind w:firstLine="0"/>
              <w:rPr>
                <w:rFonts w:cs="Arial"/>
                <w:sz w:val="22"/>
              </w:rPr>
            </w:pPr>
            <w:r>
              <w:rPr>
                <w:rFonts w:cs="Arial"/>
                <w:sz w:val="22"/>
              </w:rPr>
              <w:t>31.12.2025</w:t>
            </w:r>
          </w:p>
        </w:tc>
        <w:tc>
          <w:tcPr>
            <w:tcW w:w="684" w:type="dxa"/>
          </w:tcPr>
          <w:p w14:paraId="24F9A995">
            <w:pPr>
              <w:tabs>
                <w:tab w:val="left" w:pos="1848"/>
              </w:tabs>
              <w:spacing w:line="276" w:lineRule="auto"/>
              <w:rPr>
                <w:rFonts w:cs="Arial"/>
                <w:sz w:val="22"/>
              </w:rPr>
            </w:pPr>
          </w:p>
          <w:p w14:paraId="30D1D6CF">
            <w:pPr>
              <w:tabs>
                <w:tab w:val="left" w:pos="1848"/>
              </w:tabs>
              <w:spacing w:line="276" w:lineRule="auto"/>
              <w:rPr>
                <w:rFonts w:cs="Arial"/>
                <w:sz w:val="22"/>
              </w:rPr>
            </w:pPr>
          </w:p>
        </w:tc>
        <w:tc>
          <w:tcPr>
            <w:tcW w:w="734" w:type="dxa"/>
          </w:tcPr>
          <w:p w14:paraId="6336E413">
            <w:pPr>
              <w:tabs>
                <w:tab w:val="left" w:pos="1848"/>
              </w:tabs>
              <w:spacing w:line="276" w:lineRule="auto"/>
              <w:rPr>
                <w:rFonts w:cs="Arial"/>
                <w:sz w:val="22"/>
              </w:rPr>
            </w:pPr>
            <w:r>
              <w:rPr>
                <w:rFonts w:cs="Arial"/>
                <w:sz w:val="22"/>
              </w:rPr>
              <w:t>xx</w:t>
            </w:r>
          </w:p>
        </w:tc>
      </w:tr>
      <w:tr w14:paraId="29EC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CFF6FF6">
            <w:pPr>
              <w:spacing w:line="276" w:lineRule="auto"/>
              <w:rPr>
                <w:rFonts w:cs="Arial"/>
                <w:sz w:val="22"/>
              </w:rPr>
            </w:pPr>
            <w:r>
              <w:rPr>
                <w:rFonts w:cs="Arial"/>
                <w:sz w:val="22"/>
              </w:rPr>
              <w:t>230</w:t>
            </w:r>
          </w:p>
        </w:tc>
        <w:tc>
          <w:tcPr>
            <w:tcW w:w="3330" w:type="dxa"/>
          </w:tcPr>
          <w:p w14:paraId="4E7714B2">
            <w:pPr>
              <w:tabs>
                <w:tab w:val="left" w:pos="1461"/>
              </w:tabs>
              <w:spacing w:line="276" w:lineRule="auto"/>
              <w:ind w:firstLine="0"/>
              <w:jc w:val="left"/>
              <w:rPr>
                <w:rFonts w:cs="Arial"/>
                <w:sz w:val="22"/>
              </w:rPr>
            </w:pPr>
            <w:r>
              <w:rPr>
                <w:rFonts w:cs="Arial"/>
                <w:sz w:val="22"/>
              </w:rPr>
              <w:t>Reabilitare energetică a clădirilor rezidentiale, zona 2, Comuna Șimian, Județul Mehedinți</w:t>
            </w:r>
          </w:p>
        </w:tc>
        <w:tc>
          <w:tcPr>
            <w:tcW w:w="2790" w:type="dxa"/>
          </w:tcPr>
          <w:p w14:paraId="209D6697">
            <w:pPr>
              <w:pStyle w:val="42"/>
              <w:rPr>
                <w:sz w:val="22"/>
                <w:szCs w:val="22"/>
              </w:rPr>
            </w:pPr>
            <w:r>
              <w:rPr>
                <w:sz w:val="22"/>
                <w:szCs w:val="22"/>
              </w:rPr>
              <w:t>Creșterea eficienței energetice a clădirilor rezidențiale prin lucrări de reabilitare</w:t>
            </w:r>
          </w:p>
          <w:p w14:paraId="5175603C">
            <w:pPr>
              <w:pStyle w:val="42"/>
              <w:spacing w:line="276" w:lineRule="auto"/>
              <w:rPr>
                <w:sz w:val="22"/>
                <w:szCs w:val="22"/>
              </w:rPr>
            </w:pPr>
            <w:r>
              <w:rPr>
                <w:sz w:val="22"/>
                <w:szCs w:val="22"/>
              </w:rPr>
              <w:t>Reducerea consumului de energie și a emisiilor de gaze cu efect de seră.</w:t>
            </w:r>
          </w:p>
          <w:p w14:paraId="1EF9AC2D">
            <w:pPr>
              <w:pStyle w:val="42"/>
              <w:rPr>
                <w:sz w:val="22"/>
                <w:szCs w:val="22"/>
              </w:rPr>
            </w:pPr>
            <w:r>
              <w:rPr>
                <w:sz w:val="22"/>
                <w:szCs w:val="22"/>
              </w:rPr>
              <w:t>Reducerea costurilor de întreținere și a facturilor la energie</w:t>
            </w:r>
          </w:p>
          <w:p w14:paraId="6B4EEDAC">
            <w:pPr>
              <w:pStyle w:val="42"/>
              <w:rPr>
                <w:b/>
                <w:bCs/>
                <w:sz w:val="22"/>
                <w:szCs w:val="22"/>
              </w:rPr>
            </w:pPr>
            <w:r>
              <w:rPr>
                <w:b/>
                <w:bCs/>
                <w:sz w:val="22"/>
                <w:szCs w:val="22"/>
              </w:rPr>
              <w:t>Activități</w:t>
            </w:r>
          </w:p>
          <w:p w14:paraId="4E00C995">
            <w:pPr>
              <w:pStyle w:val="42"/>
              <w:rPr>
                <w:sz w:val="22"/>
                <w:szCs w:val="22"/>
              </w:rPr>
            </w:pPr>
            <w:r>
              <w:rPr>
                <w:sz w:val="22"/>
                <w:szCs w:val="22"/>
              </w:rPr>
              <w:t>Etapa de pregătire și documentare</w:t>
            </w:r>
          </w:p>
          <w:p w14:paraId="0F423AC4">
            <w:pPr>
              <w:pStyle w:val="42"/>
              <w:rPr>
                <w:sz w:val="22"/>
                <w:szCs w:val="22"/>
              </w:rPr>
            </w:pPr>
            <w:r>
              <w:rPr>
                <w:sz w:val="22"/>
                <w:szCs w:val="22"/>
              </w:rPr>
              <w:t>Lucrări de intervenție asupra anvelopei clădirii</w:t>
            </w:r>
          </w:p>
          <w:p w14:paraId="4961D2D2">
            <w:pPr>
              <w:pStyle w:val="42"/>
              <w:spacing w:line="276" w:lineRule="auto"/>
              <w:rPr>
                <w:sz w:val="22"/>
                <w:szCs w:val="22"/>
              </w:rPr>
            </w:pPr>
            <w:r>
              <w:rPr>
                <w:sz w:val="22"/>
                <w:szCs w:val="22"/>
              </w:rPr>
              <w:t>Lucrări auxiliare și măsuri de siguranță</w:t>
            </w:r>
          </w:p>
        </w:tc>
        <w:tc>
          <w:tcPr>
            <w:tcW w:w="1350" w:type="dxa"/>
          </w:tcPr>
          <w:p w14:paraId="48E19A2E">
            <w:pPr>
              <w:tabs>
                <w:tab w:val="left" w:pos="1848"/>
              </w:tabs>
              <w:spacing w:line="276" w:lineRule="auto"/>
              <w:ind w:firstLine="0"/>
              <w:jc w:val="left"/>
              <w:rPr>
                <w:rFonts w:cs="Arial"/>
                <w:sz w:val="22"/>
              </w:rPr>
            </w:pPr>
            <w:r>
              <w:rPr>
                <w:rFonts w:cs="Arial"/>
                <w:sz w:val="22"/>
                <w:lang w:val="ro-RO"/>
              </w:rPr>
              <w:t>Buget de Stat(MDLPA)/Fonduri Europene (PNRR)</w:t>
            </w:r>
          </w:p>
        </w:tc>
        <w:tc>
          <w:tcPr>
            <w:tcW w:w="1170" w:type="dxa"/>
          </w:tcPr>
          <w:p w14:paraId="53B28F9B">
            <w:pPr>
              <w:tabs>
                <w:tab w:val="left" w:pos="1848"/>
              </w:tabs>
              <w:spacing w:line="276" w:lineRule="auto"/>
              <w:ind w:firstLine="0"/>
              <w:rPr>
                <w:rFonts w:cs="Arial"/>
                <w:sz w:val="22"/>
              </w:rPr>
            </w:pPr>
            <w:r>
              <w:rPr>
                <w:rFonts w:cs="Arial"/>
                <w:sz w:val="22"/>
              </w:rPr>
              <w:t>În implementare-</w:t>
            </w:r>
          </w:p>
          <w:p w14:paraId="11E4B307">
            <w:pPr>
              <w:tabs>
                <w:tab w:val="left" w:pos="1848"/>
              </w:tabs>
              <w:spacing w:line="276" w:lineRule="auto"/>
              <w:ind w:firstLine="0"/>
              <w:rPr>
                <w:rFonts w:cs="Arial"/>
                <w:sz w:val="22"/>
              </w:rPr>
            </w:pPr>
            <w:r>
              <w:rPr>
                <w:rFonts w:cs="Arial"/>
                <w:sz w:val="22"/>
              </w:rPr>
              <w:t>Nr.contract 142554/15.12.2022</w:t>
            </w:r>
          </w:p>
        </w:tc>
        <w:tc>
          <w:tcPr>
            <w:tcW w:w="1026" w:type="dxa"/>
          </w:tcPr>
          <w:p w14:paraId="0DB4BEA1">
            <w:pPr>
              <w:tabs>
                <w:tab w:val="left" w:pos="1848"/>
              </w:tabs>
              <w:spacing w:line="276" w:lineRule="auto"/>
              <w:ind w:firstLine="0"/>
              <w:rPr>
                <w:rFonts w:cs="Arial"/>
                <w:sz w:val="22"/>
              </w:rPr>
            </w:pPr>
            <w:r>
              <w:rPr>
                <w:rFonts w:cs="Arial"/>
                <w:sz w:val="22"/>
              </w:rPr>
              <w:t>15.12.2025</w:t>
            </w:r>
          </w:p>
        </w:tc>
        <w:tc>
          <w:tcPr>
            <w:tcW w:w="684" w:type="dxa"/>
          </w:tcPr>
          <w:p w14:paraId="6A01EAF8">
            <w:pPr>
              <w:tabs>
                <w:tab w:val="left" w:pos="1848"/>
              </w:tabs>
              <w:spacing w:line="276" w:lineRule="auto"/>
              <w:rPr>
                <w:rFonts w:cs="Arial"/>
                <w:sz w:val="22"/>
              </w:rPr>
            </w:pPr>
          </w:p>
        </w:tc>
        <w:tc>
          <w:tcPr>
            <w:tcW w:w="734" w:type="dxa"/>
          </w:tcPr>
          <w:p w14:paraId="66A02D0B">
            <w:pPr>
              <w:tabs>
                <w:tab w:val="left" w:pos="1848"/>
              </w:tabs>
              <w:spacing w:line="276" w:lineRule="auto"/>
              <w:rPr>
                <w:rFonts w:cs="Arial"/>
                <w:sz w:val="22"/>
              </w:rPr>
            </w:pPr>
            <w:r>
              <w:rPr>
                <w:rFonts w:cs="Arial"/>
                <w:sz w:val="22"/>
              </w:rPr>
              <w:t>xx</w:t>
            </w:r>
          </w:p>
        </w:tc>
      </w:tr>
      <w:tr w14:paraId="4C70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0C627B8">
            <w:pPr>
              <w:spacing w:line="276" w:lineRule="auto"/>
              <w:rPr>
                <w:rFonts w:cs="Arial"/>
                <w:sz w:val="22"/>
              </w:rPr>
            </w:pPr>
            <w:r>
              <w:rPr>
                <w:rFonts w:cs="Arial"/>
                <w:sz w:val="22"/>
              </w:rPr>
              <w:t>231</w:t>
            </w:r>
          </w:p>
        </w:tc>
        <w:tc>
          <w:tcPr>
            <w:tcW w:w="3330" w:type="dxa"/>
          </w:tcPr>
          <w:p w14:paraId="4CEE7DD5">
            <w:pPr>
              <w:tabs>
                <w:tab w:val="left" w:pos="1461"/>
              </w:tabs>
              <w:spacing w:line="276" w:lineRule="auto"/>
              <w:ind w:firstLine="0"/>
              <w:jc w:val="left"/>
              <w:rPr>
                <w:rFonts w:cs="Arial"/>
                <w:sz w:val="22"/>
              </w:rPr>
            </w:pPr>
            <w:r>
              <w:rPr>
                <w:rFonts w:cs="Arial"/>
                <w:sz w:val="22"/>
              </w:rPr>
              <w:t>Reabilitare energetică a clădirilor rezidentiale, zona 3, Comuna Șimian, Județul Mehedinți</w:t>
            </w:r>
          </w:p>
        </w:tc>
        <w:tc>
          <w:tcPr>
            <w:tcW w:w="2790" w:type="dxa"/>
          </w:tcPr>
          <w:p w14:paraId="4117FB1F">
            <w:pPr>
              <w:pStyle w:val="42"/>
              <w:rPr>
                <w:sz w:val="22"/>
                <w:szCs w:val="22"/>
              </w:rPr>
            </w:pPr>
            <w:r>
              <w:rPr>
                <w:sz w:val="22"/>
                <w:szCs w:val="22"/>
              </w:rPr>
              <w:t>Creșterea eficienței energetice a clădirilor rezidențiale prin lucrări de reabilitare</w:t>
            </w:r>
          </w:p>
          <w:p w14:paraId="5009B046">
            <w:pPr>
              <w:pStyle w:val="42"/>
              <w:spacing w:line="276" w:lineRule="auto"/>
              <w:rPr>
                <w:sz w:val="22"/>
                <w:szCs w:val="22"/>
              </w:rPr>
            </w:pPr>
            <w:r>
              <w:rPr>
                <w:sz w:val="22"/>
                <w:szCs w:val="22"/>
              </w:rPr>
              <w:t>Reducerea consumului de energie și a emisiilor de gaze cu efect de seră.</w:t>
            </w:r>
          </w:p>
          <w:p w14:paraId="1EBC495E">
            <w:pPr>
              <w:pStyle w:val="42"/>
              <w:rPr>
                <w:sz w:val="22"/>
                <w:szCs w:val="22"/>
              </w:rPr>
            </w:pPr>
            <w:r>
              <w:rPr>
                <w:sz w:val="22"/>
                <w:szCs w:val="22"/>
              </w:rPr>
              <w:t>Reducerea costurilor de întreținere și a facturilor la energie</w:t>
            </w:r>
          </w:p>
          <w:p w14:paraId="3857701E">
            <w:pPr>
              <w:pStyle w:val="42"/>
              <w:rPr>
                <w:b/>
                <w:bCs/>
                <w:sz w:val="22"/>
                <w:szCs w:val="22"/>
              </w:rPr>
            </w:pPr>
            <w:r>
              <w:rPr>
                <w:b/>
                <w:bCs/>
                <w:sz w:val="22"/>
                <w:szCs w:val="22"/>
              </w:rPr>
              <w:t>Activități</w:t>
            </w:r>
          </w:p>
          <w:p w14:paraId="0D7507FE">
            <w:pPr>
              <w:pStyle w:val="42"/>
              <w:rPr>
                <w:sz w:val="22"/>
                <w:szCs w:val="22"/>
              </w:rPr>
            </w:pPr>
            <w:r>
              <w:rPr>
                <w:sz w:val="22"/>
                <w:szCs w:val="22"/>
              </w:rPr>
              <w:t>Etapa de pregătire și documentare</w:t>
            </w:r>
          </w:p>
          <w:p w14:paraId="5DC04DA0">
            <w:pPr>
              <w:pStyle w:val="42"/>
              <w:rPr>
                <w:sz w:val="22"/>
                <w:szCs w:val="22"/>
              </w:rPr>
            </w:pPr>
            <w:r>
              <w:rPr>
                <w:sz w:val="22"/>
                <w:szCs w:val="22"/>
              </w:rPr>
              <w:t>Lucrări de intervenție asupra anvelopei clădirii</w:t>
            </w:r>
          </w:p>
          <w:p w14:paraId="745E32DD">
            <w:pPr>
              <w:pStyle w:val="42"/>
              <w:spacing w:line="276" w:lineRule="auto"/>
              <w:rPr>
                <w:sz w:val="22"/>
                <w:szCs w:val="22"/>
              </w:rPr>
            </w:pPr>
            <w:r>
              <w:rPr>
                <w:sz w:val="22"/>
                <w:szCs w:val="22"/>
              </w:rPr>
              <w:t>Lucrări auxiliare și măsuri de siguranță</w:t>
            </w:r>
          </w:p>
        </w:tc>
        <w:tc>
          <w:tcPr>
            <w:tcW w:w="1350" w:type="dxa"/>
          </w:tcPr>
          <w:p w14:paraId="5CD22F76">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1F3C1250">
            <w:pPr>
              <w:tabs>
                <w:tab w:val="left" w:pos="1848"/>
              </w:tabs>
              <w:spacing w:line="276" w:lineRule="auto"/>
              <w:ind w:firstLine="0"/>
              <w:jc w:val="left"/>
              <w:rPr>
                <w:rFonts w:cs="Arial"/>
                <w:sz w:val="22"/>
              </w:rPr>
            </w:pPr>
            <w:r>
              <w:rPr>
                <w:rFonts w:cs="Arial"/>
                <w:sz w:val="22"/>
              </w:rPr>
              <w:t>În implementare-</w:t>
            </w:r>
          </w:p>
          <w:p w14:paraId="0673A05B">
            <w:pPr>
              <w:tabs>
                <w:tab w:val="left" w:pos="1848"/>
              </w:tabs>
              <w:spacing w:line="276" w:lineRule="auto"/>
              <w:ind w:firstLine="0"/>
              <w:rPr>
                <w:rFonts w:cs="Arial"/>
                <w:sz w:val="22"/>
              </w:rPr>
            </w:pPr>
            <w:r>
              <w:rPr>
                <w:rFonts w:cs="Arial"/>
                <w:sz w:val="22"/>
              </w:rPr>
              <w:t>Nr. contract 141080/13.12.2022</w:t>
            </w:r>
          </w:p>
        </w:tc>
        <w:tc>
          <w:tcPr>
            <w:tcW w:w="1026" w:type="dxa"/>
          </w:tcPr>
          <w:p w14:paraId="1CDB7869">
            <w:pPr>
              <w:tabs>
                <w:tab w:val="left" w:pos="1848"/>
              </w:tabs>
              <w:spacing w:line="276" w:lineRule="auto"/>
              <w:ind w:firstLine="0"/>
              <w:rPr>
                <w:rFonts w:cs="Arial"/>
                <w:sz w:val="22"/>
              </w:rPr>
            </w:pPr>
            <w:r>
              <w:rPr>
                <w:rFonts w:cs="Arial"/>
                <w:sz w:val="22"/>
              </w:rPr>
              <w:t>13.12.202</w:t>
            </w:r>
            <w:r>
              <w:rPr>
                <w:rFonts w:cs="Arial"/>
                <w:sz w:val="22"/>
                <w:lang w:val="ro-RO"/>
              </w:rPr>
              <w:t>5</w:t>
            </w:r>
          </w:p>
        </w:tc>
        <w:tc>
          <w:tcPr>
            <w:tcW w:w="684" w:type="dxa"/>
          </w:tcPr>
          <w:p w14:paraId="2AA71436">
            <w:pPr>
              <w:tabs>
                <w:tab w:val="left" w:pos="1848"/>
              </w:tabs>
              <w:spacing w:line="276" w:lineRule="auto"/>
              <w:rPr>
                <w:rFonts w:cs="Arial"/>
                <w:sz w:val="22"/>
              </w:rPr>
            </w:pPr>
          </w:p>
        </w:tc>
        <w:tc>
          <w:tcPr>
            <w:tcW w:w="734" w:type="dxa"/>
          </w:tcPr>
          <w:p w14:paraId="66BF1AB4">
            <w:pPr>
              <w:tabs>
                <w:tab w:val="left" w:pos="1848"/>
              </w:tabs>
              <w:spacing w:line="276" w:lineRule="auto"/>
              <w:rPr>
                <w:rFonts w:cs="Arial"/>
                <w:sz w:val="22"/>
              </w:rPr>
            </w:pPr>
            <w:r>
              <w:rPr>
                <w:rFonts w:cs="Arial"/>
                <w:sz w:val="22"/>
              </w:rPr>
              <w:t>xx</w:t>
            </w:r>
          </w:p>
        </w:tc>
      </w:tr>
      <w:tr w14:paraId="24F1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F863BC6">
            <w:pPr>
              <w:spacing w:line="276" w:lineRule="auto"/>
              <w:rPr>
                <w:rFonts w:cs="Arial"/>
                <w:sz w:val="22"/>
              </w:rPr>
            </w:pPr>
            <w:r>
              <w:rPr>
                <w:rFonts w:cs="Arial"/>
                <w:sz w:val="22"/>
              </w:rPr>
              <w:t>232</w:t>
            </w:r>
          </w:p>
        </w:tc>
        <w:tc>
          <w:tcPr>
            <w:tcW w:w="3330" w:type="dxa"/>
          </w:tcPr>
          <w:p w14:paraId="2BAFD680">
            <w:pPr>
              <w:tabs>
                <w:tab w:val="left" w:pos="1461"/>
              </w:tabs>
              <w:spacing w:line="276" w:lineRule="auto"/>
              <w:ind w:firstLine="0"/>
              <w:jc w:val="left"/>
              <w:rPr>
                <w:rFonts w:cs="Arial"/>
                <w:sz w:val="22"/>
              </w:rPr>
            </w:pPr>
            <w:r>
              <w:rPr>
                <w:rFonts w:cs="Arial"/>
                <w:sz w:val="22"/>
              </w:rPr>
              <w:t>Reabilitare energetică a clădirilor rezidentiale, zona 4, Comuna Șimian, Județul Mehedinți</w:t>
            </w:r>
          </w:p>
        </w:tc>
        <w:tc>
          <w:tcPr>
            <w:tcW w:w="2790" w:type="dxa"/>
          </w:tcPr>
          <w:p w14:paraId="42903E4A">
            <w:pPr>
              <w:pStyle w:val="42"/>
              <w:rPr>
                <w:sz w:val="22"/>
                <w:szCs w:val="22"/>
              </w:rPr>
            </w:pPr>
            <w:r>
              <w:rPr>
                <w:sz w:val="22"/>
                <w:szCs w:val="22"/>
              </w:rPr>
              <w:t>Creșterea eficienței energetice a clădirilor rezidențiale prin lucrări de reabilitare</w:t>
            </w:r>
          </w:p>
          <w:p w14:paraId="32B265B7">
            <w:pPr>
              <w:pStyle w:val="42"/>
              <w:spacing w:line="276" w:lineRule="auto"/>
              <w:rPr>
                <w:sz w:val="22"/>
                <w:szCs w:val="22"/>
              </w:rPr>
            </w:pPr>
            <w:r>
              <w:rPr>
                <w:sz w:val="22"/>
                <w:szCs w:val="22"/>
              </w:rPr>
              <w:t>Reducerea consumului de energie și a emisiilor de gaze cu efect de seră.</w:t>
            </w:r>
          </w:p>
          <w:p w14:paraId="00F4E63D">
            <w:pPr>
              <w:pStyle w:val="42"/>
              <w:rPr>
                <w:sz w:val="22"/>
                <w:szCs w:val="22"/>
              </w:rPr>
            </w:pPr>
            <w:r>
              <w:rPr>
                <w:sz w:val="22"/>
                <w:szCs w:val="22"/>
              </w:rPr>
              <w:t>Reducerea costurilor de întreținere și a facturilor la energie</w:t>
            </w:r>
          </w:p>
          <w:p w14:paraId="4E3173F2">
            <w:pPr>
              <w:pStyle w:val="42"/>
              <w:rPr>
                <w:b/>
                <w:bCs/>
                <w:sz w:val="22"/>
                <w:szCs w:val="22"/>
              </w:rPr>
            </w:pPr>
            <w:r>
              <w:rPr>
                <w:b/>
                <w:bCs/>
                <w:sz w:val="22"/>
                <w:szCs w:val="22"/>
              </w:rPr>
              <w:t>Activități</w:t>
            </w:r>
          </w:p>
          <w:p w14:paraId="5A39F72F">
            <w:pPr>
              <w:pStyle w:val="42"/>
              <w:rPr>
                <w:sz w:val="22"/>
                <w:szCs w:val="22"/>
              </w:rPr>
            </w:pPr>
            <w:r>
              <w:rPr>
                <w:sz w:val="22"/>
                <w:szCs w:val="22"/>
              </w:rPr>
              <w:t>Etapa de pregătire și documentare</w:t>
            </w:r>
          </w:p>
          <w:p w14:paraId="7CCCBD6E">
            <w:pPr>
              <w:pStyle w:val="42"/>
              <w:rPr>
                <w:sz w:val="22"/>
                <w:szCs w:val="22"/>
              </w:rPr>
            </w:pPr>
            <w:r>
              <w:rPr>
                <w:sz w:val="22"/>
                <w:szCs w:val="22"/>
              </w:rPr>
              <w:t>Lucrări de intervenție asupra anvelopei clădirii</w:t>
            </w:r>
          </w:p>
          <w:p w14:paraId="13C4AF7D">
            <w:pPr>
              <w:pStyle w:val="42"/>
              <w:spacing w:line="276" w:lineRule="auto"/>
              <w:rPr>
                <w:sz w:val="22"/>
                <w:szCs w:val="22"/>
              </w:rPr>
            </w:pPr>
            <w:r>
              <w:rPr>
                <w:sz w:val="22"/>
                <w:szCs w:val="22"/>
              </w:rPr>
              <w:t>Lucrări auxiliare și măsuri de siguranță</w:t>
            </w:r>
          </w:p>
        </w:tc>
        <w:tc>
          <w:tcPr>
            <w:tcW w:w="1350" w:type="dxa"/>
          </w:tcPr>
          <w:p w14:paraId="7B8D10B8">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7C6C9B0F">
            <w:pPr>
              <w:tabs>
                <w:tab w:val="left" w:pos="1848"/>
              </w:tabs>
              <w:spacing w:line="276" w:lineRule="auto"/>
              <w:ind w:firstLine="0"/>
              <w:jc w:val="left"/>
              <w:rPr>
                <w:rFonts w:cs="Arial"/>
                <w:sz w:val="22"/>
              </w:rPr>
            </w:pPr>
            <w:r>
              <w:rPr>
                <w:rFonts w:cs="Arial"/>
                <w:sz w:val="22"/>
              </w:rPr>
              <w:t>În implementare-</w:t>
            </w:r>
          </w:p>
          <w:p w14:paraId="6DC75987">
            <w:pPr>
              <w:tabs>
                <w:tab w:val="left" w:pos="1848"/>
              </w:tabs>
              <w:spacing w:line="276" w:lineRule="auto"/>
              <w:ind w:firstLine="0"/>
              <w:rPr>
                <w:rFonts w:cs="Arial"/>
                <w:sz w:val="22"/>
              </w:rPr>
            </w:pPr>
            <w:r>
              <w:rPr>
                <w:rFonts w:cs="Arial"/>
                <w:sz w:val="22"/>
              </w:rPr>
              <w:t>Nr. Contract 139105/08.12.2022</w:t>
            </w:r>
          </w:p>
        </w:tc>
        <w:tc>
          <w:tcPr>
            <w:tcW w:w="1026" w:type="dxa"/>
          </w:tcPr>
          <w:p w14:paraId="13C28575">
            <w:pPr>
              <w:tabs>
                <w:tab w:val="left" w:pos="1848"/>
              </w:tabs>
              <w:spacing w:line="276" w:lineRule="auto"/>
              <w:ind w:firstLine="0"/>
              <w:rPr>
                <w:rFonts w:cs="Arial"/>
                <w:sz w:val="22"/>
              </w:rPr>
            </w:pPr>
            <w:r>
              <w:rPr>
                <w:rFonts w:cs="Arial"/>
                <w:sz w:val="22"/>
              </w:rPr>
              <w:t>08.12.2025</w:t>
            </w:r>
          </w:p>
        </w:tc>
        <w:tc>
          <w:tcPr>
            <w:tcW w:w="684" w:type="dxa"/>
          </w:tcPr>
          <w:p w14:paraId="2886A542">
            <w:pPr>
              <w:tabs>
                <w:tab w:val="left" w:pos="1848"/>
              </w:tabs>
              <w:spacing w:line="276" w:lineRule="auto"/>
              <w:rPr>
                <w:rFonts w:cs="Arial"/>
                <w:sz w:val="22"/>
              </w:rPr>
            </w:pPr>
          </w:p>
        </w:tc>
        <w:tc>
          <w:tcPr>
            <w:tcW w:w="734" w:type="dxa"/>
          </w:tcPr>
          <w:p w14:paraId="507EA0F4">
            <w:pPr>
              <w:tabs>
                <w:tab w:val="left" w:pos="1848"/>
              </w:tabs>
              <w:spacing w:line="276" w:lineRule="auto"/>
              <w:rPr>
                <w:rFonts w:cs="Arial"/>
                <w:sz w:val="22"/>
              </w:rPr>
            </w:pPr>
            <w:r>
              <w:rPr>
                <w:rFonts w:cs="Arial"/>
                <w:sz w:val="22"/>
              </w:rPr>
              <w:t>xx</w:t>
            </w:r>
          </w:p>
        </w:tc>
      </w:tr>
      <w:tr w14:paraId="3BE8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7F860F7F">
            <w:pPr>
              <w:spacing w:line="276" w:lineRule="auto"/>
              <w:rPr>
                <w:rFonts w:cs="Arial"/>
                <w:sz w:val="22"/>
              </w:rPr>
            </w:pPr>
            <w:r>
              <w:rPr>
                <w:rFonts w:cs="Arial"/>
                <w:sz w:val="22"/>
              </w:rPr>
              <w:t>233</w:t>
            </w:r>
          </w:p>
        </w:tc>
        <w:tc>
          <w:tcPr>
            <w:tcW w:w="3330" w:type="dxa"/>
          </w:tcPr>
          <w:p w14:paraId="550D66CF">
            <w:pPr>
              <w:tabs>
                <w:tab w:val="left" w:pos="1461"/>
              </w:tabs>
              <w:spacing w:line="276" w:lineRule="auto"/>
              <w:ind w:firstLine="0"/>
              <w:jc w:val="left"/>
              <w:rPr>
                <w:rFonts w:cs="Arial"/>
                <w:sz w:val="22"/>
              </w:rPr>
            </w:pPr>
            <w:r>
              <w:rPr>
                <w:rFonts w:cs="Arial"/>
                <w:sz w:val="22"/>
              </w:rPr>
              <w:t>Proiect Tip - Construire centru de colectare deșeuri prin aport voluntar - Comuna Șimian, Județul Mehedinți</w:t>
            </w:r>
          </w:p>
        </w:tc>
        <w:tc>
          <w:tcPr>
            <w:tcW w:w="2790" w:type="dxa"/>
          </w:tcPr>
          <w:p w14:paraId="0559AA69">
            <w:pPr>
              <w:tabs>
                <w:tab w:val="left" w:pos="1848"/>
              </w:tabs>
              <w:spacing w:line="276" w:lineRule="auto"/>
              <w:ind w:firstLine="0"/>
              <w:jc w:val="left"/>
              <w:rPr>
                <w:rFonts w:cs="Arial"/>
                <w:sz w:val="22"/>
                <w:lang w:val="ro-RO"/>
              </w:rPr>
            </w:pPr>
            <w:r>
              <w:rPr>
                <w:rFonts w:cs="Arial"/>
                <w:sz w:val="22"/>
                <w:lang w:val="ro-RO"/>
              </w:rPr>
              <w:t>Gestionarea și procesarea deșeurilor</w:t>
            </w:r>
          </w:p>
          <w:p w14:paraId="5BEB3344">
            <w:pPr>
              <w:tabs>
                <w:tab w:val="left" w:pos="1848"/>
              </w:tabs>
              <w:spacing w:line="276" w:lineRule="auto"/>
              <w:ind w:firstLine="0"/>
              <w:jc w:val="left"/>
              <w:rPr>
                <w:rFonts w:cs="Arial"/>
                <w:sz w:val="22"/>
                <w:lang w:val="ro-RO"/>
              </w:rPr>
            </w:pPr>
            <w:r>
              <w:rPr>
                <w:rFonts w:cs="Arial"/>
                <w:sz w:val="22"/>
                <w:lang w:val="ro-RO"/>
              </w:rPr>
              <w:t>Implicarea comunității și creșterea gradului de conștientizare</w:t>
            </w:r>
          </w:p>
          <w:p w14:paraId="691AAF96">
            <w:pPr>
              <w:tabs>
                <w:tab w:val="left" w:pos="1848"/>
              </w:tabs>
              <w:spacing w:line="276" w:lineRule="auto"/>
              <w:ind w:firstLine="0"/>
              <w:jc w:val="left"/>
              <w:rPr>
                <w:rFonts w:cs="Arial"/>
                <w:sz w:val="22"/>
                <w:lang w:val="ro-RO"/>
              </w:rPr>
            </w:pPr>
            <w:r>
              <w:rPr>
                <w:rFonts w:cs="Arial"/>
                <w:sz w:val="22"/>
                <w:lang w:val="ro-RO"/>
              </w:rPr>
              <w:t>Reducerea cantității de deșeuri destinate depozitării la gropile de gunoi</w:t>
            </w:r>
          </w:p>
          <w:p w14:paraId="3FCEFF4F">
            <w:pPr>
              <w:tabs>
                <w:tab w:val="left" w:pos="1848"/>
              </w:tabs>
              <w:spacing w:line="276" w:lineRule="auto"/>
              <w:ind w:firstLine="0"/>
              <w:jc w:val="left"/>
              <w:rPr>
                <w:rFonts w:cs="Arial"/>
                <w:sz w:val="22"/>
                <w:lang w:val="ro-RO"/>
              </w:rPr>
            </w:pPr>
            <w:r>
              <w:rPr>
                <w:rFonts w:cs="Arial"/>
                <w:sz w:val="22"/>
                <w:lang w:val="ro-RO"/>
              </w:rPr>
              <w:t>Creșterea eficienței resurselor prin recuperarea materialelor valoroase.</w:t>
            </w:r>
          </w:p>
          <w:p w14:paraId="0325502C">
            <w:pPr>
              <w:tabs>
                <w:tab w:val="left" w:pos="1848"/>
              </w:tabs>
              <w:spacing w:line="276" w:lineRule="auto"/>
              <w:ind w:firstLine="0"/>
              <w:jc w:val="left"/>
              <w:rPr>
                <w:rFonts w:cs="Arial"/>
                <w:sz w:val="22"/>
                <w:lang w:val="ro-RO"/>
              </w:rPr>
            </w:pPr>
            <w:r>
              <w:rPr>
                <w:rFonts w:cs="Arial"/>
                <w:sz w:val="22"/>
                <w:lang w:val="ro-RO"/>
              </w:rPr>
              <w:t>Îmbunătățirea sănătății publice prin diminuarea riscurilor de poluare.</w:t>
            </w:r>
          </w:p>
          <w:p w14:paraId="49814CA0">
            <w:pPr>
              <w:tabs>
                <w:tab w:val="left" w:pos="1848"/>
              </w:tabs>
              <w:spacing w:line="276" w:lineRule="auto"/>
              <w:ind w:firstLine="0"/>
              <w:jc w:val="left"/>
              <w:rPr>
                <w:rFonts w:cs="Arial"/>
                <w:b/>
                <w:bCs/>
                <w:sz w:val="22"/>
              </w:rPr>
            </w:pPr>
            <w:r>
              <w:rPr>
                <w:rFonts w:cs="Arial"/>
                <w:b/>
                <w:bCs/>
                <w:sz w:val="22"/>
              </w:rPr>
              <w:t>Activități</w:t>
            </w:r>
          </w:p>
          <w:p w14:paraId="00656927">
            <w:pPr>
              <w:tabs>
                <w:tab w:val="left" w:pos="1848"/>
              </w:tabs>
              <w:spacing w:line="276" w:lineRule="auto"/>
              <w:ind w:firstLine="0"/>
              <w:jc w:val="left"/>
              <w:rPr>
                <w:rFonts w:cs="Arial"/>
                <w:sz w:val="22"/>
              </w:rPr>
            </w:pPr>
            <w:r>
              <w:rPr>
                <w:rFonts w:cs="Arial"/>
                <w:sz w:val="22"/>
              </w:rPr>
              <w:t>Etapa de pregătire și documentare</w:t>
            </w:r>
          </w:p>
          <w:p w14:paraId="7E2DEDC9">
            <w:pPr>
              <w:pStyle w:val="42"/>
              <w:spacing w:line="276" w:lineRule="auto"/>
              <w:rPr>
                <w:sz w:val="22"/>
                <w:szCs w:val="22"/>
              </w:rPr>
            </w:pPr>
            <w:r>
              <w:rPr>
                <w:sz w:val="22"/>
                <w:szCs w:val="22"/>
              </w:rPr>
              <w:t>Lucrări propriu-zise</w:t>
            </w:r>
          </w:p>
        </w:tc>
        <w:tc>
          <w:tcPr>
            <w:tcW w:w="1350" w:type="dxa"/>
          </w:tcPr>
          <w:p w14:paraId="43082903">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0686EBCC">
            <w:pPr>
              <w:spacing w:line="276" w:lineRule="auto"/>
              <w:ind w:firstLine="0"/>
              <w:rPr>
                <w:rFonts w:cs="Arial"/>
                <w:sz w:val="22"/>
              </w:rPr>
            </w:pPr>
            <w:r>
              <w:rPr>
                <w:rFonts w:cs="Arial"/>
                <w:sz w:val="22"/>
              </w:rPr>
              <w:t>În implementare-</w:t>
            </w:r>
          </w:p>
          <w:p w14:paraId="2B1A2EA2">
            <w:pPr>
              <w:tabs>
                <w:tab w:val="left" w:pos="1848"/>
              </w:tabs>
              <w:spacing w:line="276" w:lineRule="auto"/>
              <w:ind w:firstLine="0"/>
              <w:rPr>
                <w:rFonts w:cs="Arial"/>
                <w:sz w:val="22"/>
              </w:rPr>
            </w:pPr>
            <w:r>
              <w:rPr>
                <w:rFonts w:cs="Arial"/>
                <w:sz w:val="22"/>
              </w:rPr>
              <w:t>NR.C3I1A0122000556</w:t>
            </w:r>
          </w:p>
        </w:tc>
        <w:tc>
          <w:tcPr>
            <w:tcW w:w="1026" w:type="dxa"/>
          </w:tcPr>
          <w:p w14:paraId="267BCED3">
            <w:pPr>
              <w:tabs>
                <w:tab w:val="left" w:pos="1848"/>
              </w:tabs>
              <w:spacing w:line="276" w:lineRule="auto"/>
              <w:ind w:firstLine="0"/>
              <w:rPr>
                <w:rFonts w:cs="Arial"/>
                <w:sz w:val="22"/>
              </w:rPr>
            </w:pPr>
            <w:r>
              <w:rPr>
                <w:rFonts w:cs="Arial"/>
                <w:sz w:val="22"/>
              </w:rPr>
              <w:t>30.</w:t>
            </w:r>
            <w:r>
              <w:rPr>
                <w:rFonts w:cs="Arial"/>
                <w:sz w:val="22"/>
                <w:lang w:val="ro-RO"/>
              </w:rPr>
              <w:t>09</w:t>
            </w:r>
            <w:r>
              <w:rPr>
                <w:rFonts w:cs="Arial"/>
                <w:sz w:val="22"/>
              </w:rPr>
              <w:t>.202</w:t>
            </w:r>
            <w:r>
              <w:rPr>
                <w:rFonts w:cs="Arial"/>
                <w:sz w:val="22"/>
                <w:lang w:val="ro-RO"/>
              </w:rPr>
              <w:t>5</w:t>
            </w:r>
          </w:p>
        </w:tc>
        <w:tc>
          <w:tcPr>
            <w:tcW w:w="684" w:type="dxa"/>
          </w:tcPr>
          <w:p w14:paraId="76BA438C">
            <w:pPr>
              <w:tabs>
                <w:tab w:val="left" w:pos="1848"/>
              </w:tabs>
              <w:spacing w:line="276" w:lineRule="auto"/>
              <w:rPr>
                <w:rFonts w:cs="Arial"/>
                <w:sz w:val="22"/>
              </w:rPr>
            </w:pPr>
          </w:p>
        </w:tc>
        <w:tc>
          <w:tcPr>
            <w:tcW w:w="734" w:type="dxa"/>
          </w:tcPr>
          <w:p w14:paraId="2B84BC86">
            <w:pPr>
              <w:tabs>
                <w:tab w:val="left" w:pos="1848"/>
              </w:tabs>
              <w:spacing w:line="276" w:lineRule="auto"/>
              <w:rPr>
                <w:rFonts w:cs="Arial"/>
                <w:sz w:val="22"/>
              </w:rPr>
            </w:pPr>
          </w:p>
          <w:p w14:paraId="62BE5C53">
            <w:pPr>
              <w:tabs>
                <w:tab w:val="left" w:pos="1848"/>
              </w:tabs>
              <w:spacing w:line="276" w:lineRule="auto"/>
              <w:rPr>
                <w:rFonts w:cs="Arial"/>
                <w:sz w:val="22"/>
              </w:rPr>
            </w:pPr>
            <w:r>
              <w:rPr>
                <w:rFonts w:cs="Arial"/>
                <w:sz w:val="22"/>
              </w:rPr>
              <w:t>xx</w:t>
            </w:r>
          </w:p>
        </w:tc>
      </w:tr>
      <w:tr w14:paraId="23AA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6D777674">
            <w:pPr>
              <w:spacing w:line="276" w:lineRule="auto"/>
              <w:rPr>
                <w:rFonts w:cs="Arial"/>
                <w:sz w:val="22"/>
              </w:rPr>
            </w:pPr>
            <w:r>
              <w:rPr>
                <w:rFonts w:cs="Arial"/>
                <w:sz w:val="22"/>
              </w:rPr>
              <w:t>234</w:t>
            </w:r>
          </w:p>
        </w:tc>
        <w:tc>
          <w:tcPr>
            <w:tcW w:w="3330" w:type="dxa"/>
          </w:tcPr>
          <w:p w14:paraId="1B0841B2">
            <w:pPr>
              <w:tabs>
                <w:tab w:val="left" w:pos="1461"/>
              </w:tabs>
              <w:spacing w:line="276" w:lineRule="auto"/>
              <w:ind w:firstLine="0"/>
              <w:jc w:val="left"/>
              <w:rPr>
                <w:rFonts w:cs="Arial"/>
                <w:sz w:val="22"/>
              </w:rPr>
            </w:pPr>
            <w:r>
              <w:rPr>
                <w:rFonts w:cs="Arial"/>
                <w:iCs/>
                <w:color w:val="000000" w:themeColor="text1"/>
                <w:sz w:val="22"/>
                <w:lang w:val="ro-RO"/>
                <w14:textFill>
                  <w14:solidFill>
                    <w14:schemeClr w14:val="tx1"/>
                  </w14:solidFill>
                </w14:textFill>
              </w:rPr>
              <w:t>Capacitate de producere energie din surse regenerabile pentru consum propriu(panouri fotovoltaice) com.Simian</w:t>
            </w:r>
          </w:p>
        </w:tc>
        <w:tc>
          <w:tcPr>
            <w:tcW w:w="2790" w:type="dxa"/>
          </w:tcPr>
          <w:p w14:paraId="26CCFF64">
            <w:pPr>
              <w:pStyle w:val="42"/>
              <w:spacing w:line="276" w:lineRule="auto"/>
              <w:rPr>
                <w:sz w:val="22"/>
                <w:szCs w:val="22"/>
              </w:rPr>
            </w:pPr>
            <w:r>
              <w:rPr>
                <w:iCs/>
                <w:color w:val="000000" w:themeColor="text1"/>
                <w:sz w:val="22"/>
                <w:szCs w:val="22"/>
                <w:lang w:val="ro-RO"/>
                <w14:textFill>
                  <w14:solidFill>
                    <w14:schemeClr w14:val="tx1"/>
                  </w14:solidFill>
                </w14:textFill>
              </w:rPr>
              <w:t>Finalizare instalare panouri fotovoltaice</w:t>
            </w:r>
          </w:p>
        </w:tc>
        <w:tc>
          <w:tcPr>
            <w:tcW w:w="1350" w:type="dxa"/>
          </w:tcPr>
          <w:p w14:paraId="216E5BDF">
            <w:pPr>
              <w:tabs>
                <w:tab w:val="left" w:pos="1848"/>
              </w:tabs>
              <w:spacing w:line="276" w:lineRule="auto"/>
              <w:ind w:firstLine="0"/>
              <w:jc w:val="left"/>
              <w:rPr>
                <w:rFonts w:cs="Arial"/>
                <w:sz w:val="22"/>
              </w:rPr>
            </w:pPr>
            <w:r>
              <w:rPr>
                <w:rFonts w:cs="Arial"/>
                <w:color w:val="000000" w:themeColor="text1"/>
                <w:sz w:val="22"/>
                <w:lang w:val="ro-RO"/>
                <w14:textFill>
                  <w14:solidFill>
                    <w14:schemeClr w14:val="tx1"/>
                  </w14:solidFill>
                </w14:textFill>
              </w:rPr>
              <w:t>Buget de Stat</w:t>
            </w:r>
          </w:p>
        </w:tc>
        <w:tc>
          <w:tcPr>
            <w:tcW w:w="1170" w:type="dxa"/>
          </w:tcPr>
          <w:p w14:paraId="21C74ADD">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In implementare</w:t>
            </w:r>
          </w:p>
        </w:tc>
        <w:tc>
          <w:tcPr>
            <w:tcW w:w="1026" w:type="dxa"/>
          </w:tcPr>
          <w:p w14:paraId="758FB362">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2026</w:t>
            </w:r>
          </w:p>
        </w:tc>
        <w:tc>
          <w:tcPr>
            <w:tcW w:w="684" w:type="dxa"/>
          </w:tcPr>
          <w:p w14:paraId="24E1B229">
            <w:pPr>
              <w:tabs>
                <w:tab w:val="left" w:pos="1848"/>
              </w:tabs>
              <w:spacing w:line="276" w:lineRule="auto"/>
              <w:rPr>
                <w:rFonts w:cs="Arial"/>
                <w:sz w:val="22"/>
              </w:rPr>
            </w:pPr>
          </w:p>
        </w:tc>
        <w:tc>
          <w:tcPr>
            <w:tcW w:w="734" w:type="dxa"/>
          </w:tcPr>
          <w:p w14:paraId="017C969B">
            <w:pPr>
              <w:tabs>
                <w:tab w:val="left" w:pos="1848"/>
              </w:tabs>
              <w:spacing w:line="276" w:lineRule="auto"/>
              <w:rPr>
                <w:rFonts w:cs="Arial"/>
                <w:sz w:val="22"/>
              </w:rPr>
            </w:pPr>
            <w:r>
              <w:rPr>
                <w:rFonts w:cs="Arial"/>
                <w:sz w:val="22"/>
              </w:rPr>
              <w:t>xx</w:t>
            </w:r>
          </w:p>
        </w:tc>
      </w:tr>
      <w:tr w14:paraId="68B3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108DAE5E">
            <w:pPr>
              <w:spacing w:line="276" w:lineRule="auto"/>
              <w:rPr>
                <w:rFonts w:cs="Arial"/>
                <w:sz w:val="22"/>
              </w:rPr>
            </w:pPr>
            <w:r>
              <w:rPr>
                <w:rFonts w:cs="Arial"/>
                <w:sz w:val="22"/>
              </w:rPr>
              <w:t>235</w:t>
            </w:r>
          </w:p>
        </w:tc>
        <w:tc>
          <w:tcPr>
            <w:tcW w:w="3330" w:type="dxa"/>
          </w:tcPr>
          <w:p w14:paraId="2666FC7B">
            <w:pPr>
              <w:tabs>
                <w:tab w:val="left" w:pos="1461"/>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DALI Renovare energetica a cladirilor rezidentiale zona 5</w:t>
            </w:r>
          </w:p>
        </w:tc>
        <w:tc>
          <w:tcPr>
            <w:tcW w:w="2790" w:type="dxa"/>
          </w:tcPr>
          <w:p w14:paraId="57F0B43A">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Finalizare proces de renovare</w:t>
            </w:r>
          </w:p>
        </w:tc>
        <w:tc>
          <w:tcPr>
            <w:tcW w:w="1350" w:type="dxa"/>
          </w:tcPr>
          <w:p w14:paraId="483F021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Pr>
          <w:p w14:paraId="3440113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Pr>
          <w:p w14:paraId="18E10AD4">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2025-2027</w:t>
            </w:r>
          </w:p>
        </w:tc>
        <w:tc>
          <w:tcPr>
            <w:tcW w:w="684" w:type="dxa"/>
          </w:tcPr>
          <w:p w14:paraId="0C692210">
            <w:pPr>
              <w:tabs>
                <w:tab w:val="left" w:pos="1848"/>
              </w:tabs>
              <w:spacing w:line="276" w:lineRule="auto"/>
              <w:rPr>
                <w:rFonts w:cs="Arial"/>
                <w:sz w:val="22"/>
              </w:rPr>
            </w:pPr>
          </w:p>
        </w:tc>
        <w:tc>
          <w:tcPr>
            <w:tcW w:w="734" w:type="dxa"/>
          </w:tcPr>
          <w:p w14:paraId="384C7862">
            <w:pPr>
              <w:tabs>
                <w:tab w:val="left" w:pos="1848"/>
              </w:tabs>
              <w:spacing w:line="276" w:lineRule="auto"/>
              <w:rPr>
                <w:rFonts w:cs="Arial"/>
                <w:sz w:val="22"/>
              </w:rPr>
            </w:pPr>
            <w:r>
              <w:rPr>
                <w:rFonts w:cs="Arial"/>
                <w:sz w:val="22"/>
              </w:rPr>
              <w:t>xx</w:t>
            </w:r>
          </w:p>
        </w:tc>
      </w:tr>
      <w:tr w14:paraId="0772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3BE2D48B">
            <w:pPr>
              <w:spacing w:line="276" w:lineRule="auto"/>
              <w:rPr>
                <w:rFonts w:cs="Arial"/>
                <w:sz w:val="22"/>
              </w:rPr>
            </w:pPr>
            <w:r>
              <w:rPr>
                <w:rFonts w:cs="Arial"/>
                <w:sz w:val="22"/>
              </w:rPr>
              <w:t>236</w:t>
            </w:r>
          </w:p>
        </w:tc>
        <w:tc>
          <w:tcPr>
            <w:tcW w:w="3330" w:type="dxa"/>
          </w:tcPr>
          <w:p w14:paraId="08C1CA6D">
            <w:pPr>
              <w:ind w:firstLine="0"/>
              <w:rPr>
                <w:rFonts w:cs="Arial"/>
                <w:sz w:val="22"/>
                <w:lang w:val="ro-RO"/>
              </w:rPr>
            </w:pPr>
            <w:r>
              <w:rPr>
                <w:rFonts w:cs="Arial"/>
                <w:sz w:val="22"/>
                <w:lang w:val="ro-RO"/>
              </w:rPr>
              <w:t>Reabilitarea energetică a clădirilor cheie:</w:t>
            </w:r>
          </w:p>
          <w:p w14:paraId="0D7F7A70">
            <w:pPr>
              <w:spacing w:before="60"/>
              <w:ind w:firstLine="0"/>
              <w:rPr>
                <w:rFonts w:eastAsia="SimSun" w:cs="Arial"/>
                <w:sz w:val="22"/>
                <w:lang w:val="ro-RO"/>
              </w:rPr>
            </w:pPr>
            <w:r>
              <w:rPr>
                <w:rFonts w:eastAsia="SimSun" w:cs="Arial"/>
                <w:sz w:val="22"/>
                <w:lang w:val="ro-RO"/>
              </w:rPr>
              <w:t>Modernizarea la standard nZEB a școlilor, primăriei și centrului de sănătate;</w:t>
            </w:r>
          </w:p>
          <w:p w14:paraId="6E88CF0F">
            <w:pPr>
              <w:spacing w:before="60"/>
              <w:ind w:firstLine="0"/>
              <w:rPr>
                <w:rFonts w:eastAsia="SimSun" w:cs="Arial"/>
                <w:sz w:val="22"/>
                <w:lang w:val="ro-RO"/>
              </w:rPr>
            </w:pPr>
            <w:r>
              <w:rPr>
                <w:rFonts w:eastAsia="SimSun" w:cs="Arial"/>
                <w:sz w:val="22"/>
                <w:lang w:val="ro-RO"/>
              </w:rPr>
              <w:t>Instalare panouri fotovoltaice pe acoperișuri (min. 50 kWp);</w:t>
            </w:r>
          </w:p>
          <w:p w14:paraId="117C7162">
            <w:pPr>
              <w:spacing w:before="60"/>
              <w:ind w:firstLine="0"/>
              <w:rPr>
                <w:rFonts w:cs="Arial"/>
                <w:sz w:val="22"/>
                <w:lang w:val="ro-RO"/>
              </w:rPr>
            </w:pPr>
            <w:r>
              <w:rPr>
                <w:rFonts w:eastAsia="SimSun" w:cs="Arial"/>
                <w:sz w:val="22"/>
                <w:lang w:val="ro-RO"/>
              </w:rPr>
              <w:t>Înlocuirea ferestrelor și a sistemelor de încălzire.</w:t>
            </w:r>
          </w:p>
          <w:p w14:paraId="080099D6">
            <w:pPr>
              <w:tabs>
                <w:tab w:val="left" w:pos="1461"/>
              </w:tabs>
              <w:spacing w:line="276" w:lineRule="auto"/>
              <w:ind w:firstLine="0"/>
              <w:jc w:val="left"/>
              <w:rPr>
                <w:rFonts w:cs="Arial"/>
                <w:iCs/>
                <w:color w:val="000000" w:themeColor="text1"/>
                <w:sz w:val="22"/>
                <w:lang w:val="ro-RO"/>
                <w14:textFill>
                  <w14:solidFill>
                    <w14:schemeClr w14:val="tx1"/>
                  </w14:solidFill>
                </w14:textFill>
              </w:rPr>
            </w:pPr>
          </w:p>
        </w:tc>
        <w:tc>
          <w:tcPr>
            <w:tcW w:w="2790" w:type="dxa"/>
          </w:tcPr>
          <w:p w14:paraId="1A1A6935">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Tranziția către ecnomie verde</w:t>
            </w:r>
          </w:p>
        </w:tc>
        <w:tc>
          <w:tcPr>
            <w:tcW w:w="1350" w:type="dxa"/>
          </w:tcPr>
          <w:p w14:paraId="0242CE2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eastAsia="SimSun" w:cs="Arial"/>
                <w:sz w:val="22"/>
                <w:lang w:val="ro-RO"/>
              </w:rPr>
              <w:t>POCU (FSE+) și Fonduri UE pentru eficiență energetică</w:t>
            </w:r>
          </w:p>
        </w:tc>
        <w:tc>
          <w:tcPr>
            <w:tcW w:w="1170" w:type="dxa"/>
          </w:tcPr>
          <w:p w14:paraId="57EB74F9">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7EF3673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5ACCD738">
            <w:pPr>
              <w:tabs>
                <w:tab w:val="left" w:pos="1848"/>
              </w:tabs>
              <w:spacing w:line="276" w:lineRule="auto"/>
              <w:rPr>
                <w:rFonts w:cs="Arial"/>
                <w:sz w:val="22"/>
              </w:rPr>
            </w:pPr>
          </w:p>
        </w:tc>
        <w:tc>
          <w:tcPr>
            <w:tcW w:w="734" w:type="dxa"/>
          </w:tcPr>
          <w:p w14:paraId="7F69586E">
            <w:pPr>
              <w:tabs>
                <w:tab w:val="left" w:pos="1848"/>
              </w:tabs>
              <w:spacing w:line="276" w:lineRule="auto"/>
              <w:rPr>
                <w:rFonts w:cs="Arial"/>
                <w:sz w:val="22"/>
              </w:rPr>
            </w:pPr>
            <w:r>
              <w:rPr>
                <w:rFonts w:cs="Arial"/>
                <w:sz w:val="22"/>
              </w:rPr>
              <w:t>xx</w:t>
            </w:r>
          </w:p>
        </w:tc>
      </w:tr>
      <w:tr w14:paraId="7785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6026404">
            <w:pPr>
              <w:spacing w:line="276" w:lineRule="auto"/>
              <w:rPr>
                <w:rFonts w:cs="Arial"/>
                <w:sz w:val="22"/>
              </w:rPr>
            </w:pPr>
            <w:r>
              <w:rPr>
                <w:rFonts w:cs="Arial"/>
                <w:sz w:val="22"/>
              </w:rPr>
              <w:t>337</w:t>
            </w:r>
          </w:p>
        </w:tc>
        <w:tc>
          <w:tcPr>
            <w:tcW w:w="3330" w:type="dxa"/>
          </w:tcPr>
          <w:p w14:paraId="4BF050A4">
            <w:pPr>
              <w:spacing w:before="60"/>
              <w:ind w:firstLine="0"/>
              <w:rPr>
                <w:rFonts w:cs="Arial"/>
                <w:sz w:val="22"/>
                <w:lang w:val="ro-RO"/>
              </w:rPr>
            </w:pPr>
            <w:r>
              <w:rPr>
                <w:rFonts w:cs="Arial"/>
                <w:sz w:val="22"/>
                <w:lang w:val="ro-RO"/>
              </w:rPr>
              <w:t>Dezvoltarea parcurilor fotovoltaice pe terenuri degradate:</w:t>
            </w:r>
          </w:p>
          <w:p w14:paraId="5D52771F">
            <w:pPr>
              <w:spacing w:before="60"/>
              <w:ind w:firstLine="0"/>
              <w:rPr>
                <w:rFonts w:cs="Arial"/>
                <w:sz w:val="22"/>
                <w:lang w:val="ro-RO"/>
              </w:rPr>
            </w:pPr>
            <w:r>
              <w:rPr>
                <w:rFonts w:eastAsia="SimSun" w:cs="Arial"/>
                <w:sz w:val="22"/>
                <w:lang w:val="ro-RO"/>
              </w:rPr>
              <w:t>Amenajarea a 10 ha cu panouri solare (capacitate 5 MW);</w:t>
            </w:r>
          </w:p>
          <w:p w14:paraId="3FB0CE68">
            <w:pPr>
              <w:spacing w:before="60"/>
              <w:ind w:firstLine="0"/>
              <w:rPr>
                <w:rFonts w:cs="Arial"/>
                <w:sz w:val="22"/>
                <w:lang w:val="ro-RO"/>
              </w:rPr>
            </w:pPr>
            <w:r>
              <w:rPr>
                <w:rFonts w:eastAsia="SimSun" w:cs="Arial"/>
                <w:sz w:val="22"/>
                <w:lang w:val="ro-RO"/>
              </w:rPr>
              <w:t>Sistem de stocare baterii pentru autoconsum comunitar;</w:t>
            </w:r>
          </w:p>
          <w:p w14:paraId="7CEB4611">
            <w:pPr>
              <w:spacing w:before="60"/>
              <w:ind w:firstLine="0"/>
              <w:rPr>
                <w:rFonts w:cs="Arial"/>
                <w:sz w:val="22"/>
                <w:lang w:val="ro-RO"/>
              </w:rPr>
            </w:pPr>
            <w:r>
              <w:rPr>
                <w:rFonts w:eastAsia="SimSun" w:cs="Arial"/>
                <w:sz w:val="22"/>
                <w:lang w:val="ro-RO"/>
              </w:rPr>
              <w:t>Parteneriat cu prosumatori locali pentru vânzare energie.</w:t>
            </w:r>
          </w:p>
          <w:p w14:paraId="64C3BDC6">
            <w:pPr>
              <w:ind w:firstLine="0"/>
              <w:rPr>
                <w:rFonts w:cs="Arial"/>
                <w:sz w:val="22"/>
                <w:lang w:val="ro-RO"/>
              </w:rPr>
            </w:pPr>
          </w:p>
        </w:tc>
        <w:tc>
          <w:tcPr>
            <w:tcW w:w="2790" w:type="dxa"/>
          </w:tcPr>
          <w:p w14:paraId="44544A58">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Tranziția către ecnomie verde</w:t>
            </w:r>
          </w:p>
        </w:tc>
        <w:tc>
          <w:tcPr>
            <w:tcW w:w="1350" w:type="dxa"/>
          </w:tcPr>
          <w:p w14:paraId="70B4DDA5">
            <w:pPr>
              <w:tabs>
                <w:tab w:val="left" w:pos="1848"/>
              </w:tabs>
              <w:spacing w:line="276" w:lineRule="auto"/>
              <w:ind w:firstLine="0"/>
              <w:jc w:val="left"/>
              <w:rPr>
                <w:rFonts w:eastAsia="SimSun" w:cs="Arial"/>
                <w:sz w:val="22"/>
                <w:lang w:val="ro-RO"/>
              </w:rPr>
            </w:pPr>
            <w:r>
              <w:rPr>
                <w:rFonts w:eastAsia="SimSun" w:cs="Arial"/>
                <w:sz w:val="22"/>
                <w:lang w:val="ro-RO"/>
              </w:rPr>
              <w:t>PNRR (Componenta Energie) și Fondul Just Transition</w:t>
            </w:r>
          </w:p>
        </w:tc>
        <w:tc>
          <w:tcPr>
            <w:tcW w:w="1170" w:type="dxa"/>
          </w:tcPr>
          <w:p w14:paraId="65A7EE50">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766E5823">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02383832">
            <w:pPr>
              <w:tabs>
                <w:tab w:val="left" w:pos="1848"/>
              </w:tabs>
              <w:spacing w:line="276" w:lineRule="auto"/>
              <w:rPr>
                <w:rFonts w:cs="Arial"/>
                <w:sz w:val="22"/>
              </w:rPr>
            </w:pPr>
          </w:p>
        </w:tc>
        <w:tc>
          <w:tcPr>
            <w:tcW w:w="734" w:type="dxa"/>
          </w:tcPr>
          <w:p w14:paraId="590F49A5">
            <w:pPr>
              <w:tabs>
                <w:tab w:val="left" w:pos="1848"/>
              </w:tabs>
              <w:spacing w:line="276" w:lineRule="auto"/>
              <w:rPr>
                <w:rFonts w:cs="Arial"/>
                <w:sz w:val="22"/>
              </w:rPr>
            </w:pPr>
          </w:p>
          <w:p w14:paraId="3D1D4D90">
            <w:pPr>
              <w:rPr>
                <w:rFonts w:cs="Arial"/>
                <w:sz w:val="22"/>
              </w:rPr>
            </w:pPr>
          </w:p>
          <w:p w14:paraId="41D084D8">
            <w:pPr>
              <w:rPr>
                <w:rFonts w:cs="Arial"/>
                <w:sz w:val="22"/>
              </w:rPr>
            </w:pPr>
            <w:r>
              <w:rPr>
                <w:rFonts w:cs="Arial"/>
                <w:sz w:val="22"/>
              </w:rPr>
              <w:t>xx</w:t>
            </w:r>
          </w:p>
        </w:tc>
      </w:tr>
      <w:tr w14:paraId="7A34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619" w:type="dxa"/>
            <w:gridSpan w:val="8"/>
          </w:tcPr>
          <w:p w14:paraId="55249584">
            <w:pPr>
              <w:pStyle w:val="4"/>
              <w:ind w:firstLine="0"/>
              <w:rPr>
                <w:rFonts w:cs="Arial"/>
                <w:sz w:val="22"/>
                <w:szCs w:val="22"/>
                <w:lang w:val="ro-RO"/>
              </w:rPr>
            </w:pPr>
            <w:bookmarkStart w:id="95" w:name="_Toc201926355"/>
            <w:r>
              <w:rPr>
                <w:rFonts w:cs="Arial"/>
                <w:sz w:val="22"/>
                <w:szCs w:val="22"/>
                <w:lang w:val="ro-RO"/>
              </w:rPr>
              <w:t>DIRECȚIA STRATEGICĂ 4 - Creșterea calității vieții și incluziunii sociale</w:t>
            </w:r>
            <w:bookmarkEnd w:id="95"/>
          </w:p>
          <w:p w14:paraId="1CE43792">
            <w:pPr>
              <w:tabs>
                <w:tab w:val="left" w:pos="1848"/>
              </w:tabs>
              <w:spacing w:line="276" w:lineRule="auto"/>
              <w:ind w:firstLine="0"/>
              <w:rPr>
                <w:rFonts w:cs="Arial"/>
                <w:b/>
                <w:bCs/>
                <w:color w:val="4472C4" w:themeColor="accent1"/>
                <w:sz w:val="22"/>
                <w14:textFill>
                  <w14:solidFill>
                    <w14:schemeClr w14:val="accent1"/>
                  </w14:solidFill>
                </w14:textFill>
              </w:rPr>
            </w:pPr>
            <w:r>
              <w:rPr>
                <w:rFonts w:cs="Arial"/>
                <w:b/>
                <w:bCs/>
                <w:color w:val="2E75B6" w:themeColor="accent5" w:themeShade="BF"/>
                <w:sz w:val="22"/>
                <w:lang w:val="ro-RO"/>
              </w:rPr>
              <w:t xml:space="preserve">Obiectivul strategic nr. 4 - </w:t>
            </w:r>
            <w:r>
              <w:rPr>
                <w:rFonts w:cs="Arial"/>
                <w:sz w:val="22"/>
                <w:lang w:val="ro-RO"/>
              </w:rPr>
              <w:t>Îmbunătățirea accesului la servicii publice de calitate (educație, sănătate, cultură, sport), reducerea disparităților sociale și sprijinirea grupurilor vulnerabile</w:t>
            </w:r>
          </w:p>
        </w:tc>
      </w:tr>
      <w:tr w14:paraId="1D13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E38E3B3">
            <w:pPr>
              <w:spacing w:line="276" w:lineRule="auto"/>
              <w:rPr>
                <w:rFonts w:cs="Arial"/>
                <w:sz w:val="22"/>
              </w:rPr>
            </w:pPr>
            <w:r>
              <w:rPr>
                <w:rFonts w:cs="Arial"/>
                <w:sz w:val="22"/>
              </w:rPr>
              <w:t>138</w:t>
            </w:r>
          </w:p>
        </w:tc>
        <w:tc>
          <w:tcPr>
            <w:tcW w:w="3330" w:type="dxa"/>
          </w:tcPr>
          <w:p w14:paraId="77843A0B">
            <w:pPr>
              <w:tabs>
                <w:tab w:val="left" w:pos="1461"/>
              </w:tabs>
              <w:spacing w:line="276" w:lineRule="auto"/>
              <w:ind w:firstLine="0"/>
              <w:jc w:val="left"/>
              <w:rPr>
                <w:rFonts w:cs="Arial"/>
                <w:sz w:val="22"/>
              </w:rPr>
            </w:pPr>
            <w:r>
              <w:rPr>
                <w:rFonts w:cs="Arial"/>
                <w:sz w:val="22"/>
                <w:lang w:val="it-IT"/>
              </w:rPr>
              <w:t>Centru comunitar integrat, Sat Dedovița Nouă, Comuna Șimian, Județul Mehedinți</w:t>
            </w:r>
          </w:p>
        </w:tc>
        <w:tc>
          <w:tcPr>
            <w:tcW w:w="2790" w:type="dxa"/>
          </w:tcPr>
          <w:p w14:paraId="35F891DC">
            <w:pPr>
              <w:pStyle w:val="42"/>
              <w:spacing w:line="276" w:lineRule="auto"/>
              <w:rPr>
                <w:sz w:val="22"/>
                <w:szCs w:val="22"/>
              </w:rPr>
            </w:pPr>
          </w:p>
        </w:tc>
        <w:tc>
          <w:tcPr>
            <w:tcW w:w="1350" w:type="dxa"/>
          </w:tcPr>
          <w:p w14:paraId="1C006E34">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0F8BD39A">
            <w:pPr>
              <w:tabs>
                <w:tab w:val="left" w:pos="1848"/>
              </w:tabs>
              <w:spacing w:line="276" w:lineRule="auto"/>
              <w:ind w:firstLine="0"/>
              <w:rPr>
                <w:rFonts w:cs="Arial"/>
                <w:sz w:val="22"/>
              </w:rPr>
            </w:pPr>
            <w:r>
              <w:rPr>
                <w:rFonts w:cs="Arial"/>
                <w:sz w:val="22"/>
              </w:rPr>
              <w:t>În implementare-</w:t>
            </w:r>
          </w:p>
          <w:p w14:paraId="024176BE">
            <w:pPr>
              <w:tabs>
                <w:tab w:val="left" w:pos="1848"/>
              </w:tabs>
              <w:spacing w:line="276" w:lineRule="auto"/>
              <w:ind w:firstLine="0"/>
              <w:jc w:val="center"/>
              <w:rPr>
                <w:rFonts w:cs="Arial"/>
                <w:sz w:val="22"/>
              </w:rPr>
            </w:pPr>
            <w:r>
              <w:rPr>
                <w:rFonts w:cs="Arial"/>
                <w:sz w:val="22"/>
              </w:rPr>
              <w:t>Nr. Contract</w:t>
            </w:r>
          </w:p>
          <w:p w14:paraId="2475088E">
            <w:pPr>
              <w:tabs>
                <w:tab w:val="left" w:pos="1848"/>
              </w:tabs>
              <w:spacing w:line="276" w:lineRule="auto"/>
              <w:ind w:firstLine="0"/>
              <w:jc w:val="center"/>
              <w:rPr>
                <w:rFonts w:cs="Arial"/>
                <w:sz w:val="22"/>
              </w:rPr>
            </w:pPr>
            <w:r>
              <w:rPr>
                <w:rFonts w:cs="Arial"/>
                <w:sz w:val="22"/>
              </w:rPr>
              <w:t>989/121/CCI/</w:t>
            </w:r>
          </w:p>
          <w:p w14:paraId="5F81A124">
            <w:pPr>
              <w:tabs>
                <w:tab w:val="left" w:pos="1848"/>
              </w:tabs>
              <w:spacing w:line="276" w:lineRule="auto"/>
              <w:ind w:firstLine="0"/>
              <w:rPr>
                <w:rFonts w:cs="Arial"/>
                <w:sz w:val="22"/>
              </w:rPr>
            </w:pPr>
            <w:r>
              <w:rPr>
                <w:rFonts w:cs="Arial"/>
                <w:sz w:val="22"/>
              </w:rPr>
              <w:t>15.12.2023</w:t>
            </w:r>
          </w:p>
        </w:tc>
        <w:tc>
          <w:tcPr>
            <w:tcW w:w="1026" w:type="dxa"/>
          </w:tcPr>
          <w:p w14:paraId="0B0FD09A">
            <w:pPr>
              <w:tabs>
                <w:tab w:val="left" w:pos="1848"/>
              </w:tabs>
              <w:spacing w:line="276" w:lineRule="auto"/>
              <w:ind w:firstLine="0"/>
              <w:rPr>
                <w:rFonts w:cs="Arial"/>
                <w:sz w:val="22"/>
              </w:rPr>
            </w:pPr>
            <w:r>
              <w:rPr>
                <w:rFonts w:cs="Arial"/>
                <w:sz w:val="22"/>
              </w:rPr>
              <w:t>31.03.2026</w:t>
            </w:r>
          </w:p>
        </w:tc>
        <w:tc>
          <w:tcPr>
            <w:tcW w:w="684" w:type="dxa"/>
          </w:tcPr>
          <w:p w14:paraId="522AC135">
            <w:pPr>
              <w:tabs>
                <w:tab w:val="left" w:pos="1848"/>
              </w:tabs>
              <w:spacing w:line="276" w:lineRule="auto"/>
              <w:rPr>
                <w:rFonts w:cs="Arial"/>
                <w:sz w:val="22"/>
              </w:rPr>
            </w:pPr>
          </w:p>
        </w:tc>
        <w:tc>
          <w:tcPr>
            <w:tcW w:w="734" w:type="dxa"/>
          </w:tcPr>
          <w:p w14:paraId="4D42F73A">
            <w:pPr>
              <w:tabs>
                <w:tab w:val="left" w:pos="1848"/>
              </w:tabs>
              <w:spacing w:line="276" w:lineRule="auto"/>
              <w:rPr>
                <w:rFonts w:cs="Arial"/>
                <w:sz w:val="22"/>
              </w:rPr>
            </w:pPr>
            <w:r>
              <w:rPr>
                <w:rFonts w:cs="Arial"/>
                <w:sz w:val="22"/>
              </w:rPr>
              <w:t>xx</w:t>
            </w:r>
          </w:p>
        </w:tc>
      </w:tr>
      <w:tr w14:paraId="25A2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A2E0DA3">
            <w:pPr>
              <w:spacing w:line="276" w:lineRule="auto"/>
              <w:rPr>
                <w:rFonts w:cs="Arial"/>
                <w:sz w:val="22"/>
              </w:rPr>
            </w:pPr>
            <w:r>
              <w:rPr>
                <w:rFonts w:cs="Arial"/>
                <w:sz w:val="22"/>
              </w:rPr>
              <w:t>239</w:t>
            </w:r>
          </w:p>
        </w:tc>
        <w:tc>
          <w:tcPr>
            <w:tcW w:w="3330" w:type="dxa"/>
          </w:tcPr>
          <w:p w14:paraId="07909514">
            <w:pPr>
              <w:tabs>
                <w:tab w:val="left" w:pos="1461"/>
              </w:tabs>
              <w:spacing w:line="276" w:lineRule="auto"/>
              <w:ind w:firstLine="0"/>
              <w:jc w:val="left"/>
              <w:rPr>
                <w:rFonts w:cs="Arial"/>
                <w:sz w:val="22"/>
              </w:rPr>
            </w:pPr>
            <w:r>
              <w:rPr>
                <w:rFonts w:cs="Arial"/>
                <w:sz w:val="22"/>
              </w:rPr>
              <w:t xml:space="preserve">Îmbunătățirea infrastructurii școlare a Liceului Tehnologic </w:t>
            </w:r>
          </w:p>
          <w:p w14:paraId="23CDCD08">
            <w:pPr>
              <w:tabs>
                <w:tab w:val="left" w:pos="1461"/>
              </w:tabs>
              <w:spacing w:line="276" w:lineRule="auto"/>
              <w:ind w:firstLine="0"/>
              <w:jc w:val="left"/>
              <w:rPr>
                <w:rFonts w:cs="Arial"/>
                <w:sz w:val="22"/>
              </w:rPr>
            </w:pPr>
            <w:r>
              <w:rPr>
                <w:rFonts w:cs="Arial"/>
                <w:sz w:val="22"/>
              </w:rPr>
              <w:t>Tudor Vladimirescu - Șimian</w:t>
            </w:r>
          </w:p>
        </w:tc>
        <w:tc>
          <w:tcPr>
            <w:tcW w:w="2790" w:type="dxa"/>
          </w:tcPr>
          <w:p w14:paraId="1BDDA812">
            <w:pPr>
              <w:tabs>
                <w:tab w:val="left" w:pos="1848"/>
              </w:tabs>
              <w:spacing w:line="276" w:lineRule="auto"/>
              <w:ind w:firstLine="0"/>
              <w:rPr>
                <w:rFonts w:cs="Arial"/>
                <w:sz w:val="22"/>
              </w:rPr>
            </w:pPr>
            <w:r>
              <w:rPr>
                <w:rFonts w:cs="Arial"/>
                <w:sz w:val="22"/>
              </w:rPr>
              <w:t>Reducerea abandonului școlar prin îmbunătățirea condițiilor de studiu.</w:t>
            </w:r>
          </w:p>
          <w:p w14:paraId="218583F9">
            <w:pPr>
              <w:tabs>
                <w:tab w:val="left" w:pos="1848"/>
              </w:tabs>
              <w:spacing w:line="276" w:lineRule="auto"/>
              <w:ind w:firstLine="0"/>
              <w:rPr>
                <w:rFonts w:cs="Arial"/>
                <w:sz w:val="22"/>
              </w:rPr>
            </w:pPr>
            <w:r>
              <w:rPr>
                <w:rFonts w:cs="Arial"/>
                <w:sz w:val="22"/>
              </w:rPr>
              <w:t>Creșterea performanței academice prin acces la resurse educaționale moderne.</w:t>
            </w:r>
          </w:p>
          <w:p w14:paraId="1A249B3C">
            <w:pPr>
              <w:tabs>
                <w:tab w:val="left" w:pos="1848"/>
              </w:tabs>
              <w:spacing w:line="276" w:lineRule="auto"/>
              <w:ind w:firstLine="0"/>
              <w:rPr>
                <w:rFonts w:cs="Arial"/>
                <w:sz w:val="22"/>
              </w:rPr>
            </w:pPr>
            <w:r>
              <w:rPr>
                <w:rFonts w:cs="Arial"/>
                <w:sz w:val="22"/>
              </w:rPr>
              <w:t>Promovarea unui mediu educațional incluziv și accesibil tuturor elevilor.</w:t>
            </w:r>
          </w:p>
          <w:p w14:paraId="096413FB">
            <w:pPr>
              <w:tabs>
                <w:tab w:val="left" w:pos="1848"/>
              </w:tabs>
              <w:spacing w:line="276" w:lineRule="auto"/>
              <w:ind w:firstLine="0"/>
              <w:rPr>
                <w:rFonts w:cs="Arial"/>
                <w:sz w:val="22"/>
              </w:rPr>
            </w:pPr>
            <w:r>
              <w:rPr>
                <w:rFonts w:cs="Arial"/>
                <w:sz w:val="22"/>
              </w:rPr>
              <w:t>Dezvoltarea competențelor digitale și pregătirea elevilor pentru viitor.</w:t>
            </w:r>
          </w:p>
          <w:p w14:paraId="5F5F4D16">
            <w:pPr>
              <w:tabs>
                <w:tab w:val="left" w:pos="1848"/>
              </w:tabs>
              <w:spacing w:line="276" w:lineRule="auto"/>
              <w:ind w:firstLine="0"/>
              <w:rPr>
                <w:rFonts w:cs="Arial"/>
                <w:b/>
                <w:bCs/>
                <w:sz w:val="22"/>
              </w:rPr>
            </w:pPr>
            <w:r>
              <w:rPr>
                <w:rFonts w:cs="Arial"/>
                <w:b/>
                <w:bCs/>
                <w:sz w:val="22"/>
              </w:rPr>
              <w:t>Activități</w:t>
            </w:r>
          </w:p>
          <w:p w14:paraId="661D3B14">
            <w:pPr>
              <w:tabs>
                <w:tab w:val="left" w:pos="1848"/>
              </w:tabs>
              <w:spacing w:line="276" w:lineRule="auto"/>
              <w:ind w:firstLine="0"/>
              <w:jc w:val="left"/>
              <w:rPr>
                <w:rFonts w:cs="Arial"/>
                <w:sz w:val="22"/>
              </w:rPr>
            </w:pPr>
            <w:r>
              <w:rPr>
                <w:rFonts w:cs="Arial"/>
                <w:sz w:val="22"/>
              </w:rPr>
              <w:t>Modernizarea clădirilor școlare</w:t>
            </w:r>
          </w:p>
          <w:p w14:paraId="0A70524C">
            <w:pPr>
              <w:tabs>
                <w:tab w:val="left" w:pos="1848"/>
              </w:tabs>
              <w:spacing w:line="276" w:lineRule="auto"/>
              <w:ind w:firstLine="0"/>
              <w:jc w:val="left"/>
              <w:rPr>
                <w:rFonts w:cs="Arial"/>
                <w:sz w:val="22"/>
              </w:rPr>
            </w:pPr>
            <w:r>
              <w:rPr>
                <w:rFonts w:cs="Arial"/>
                <w:sz w:val="22"/>
              </w:rPr>
              <w:t>Dotarea școlilor cu echipamente moderne</w:t>
            </w:r>
          </w:p>
          <w:p w14:paraId="1211F3E5">
            <w:pPr>
              <w:tabs>
                <w:tab w:val="left" w:pos="1848"/>
              </w:tabs>
              <w:spacing w:line="276" w:lineRule="auto"/>
              <w:ind w:firstLine="0"/>
              <w:jc w:val="left"/>
              <w:rPr>
                <w:rFonts w:cs="Arial"/>
                <w:sz w:val="22"/>
              </w:rPr>
            </w:pPr>
            <w:r>
              <w:rPr>
                <w:rFonts w:cs="Arial"/>
                <w:sz w:val="22"/>
              </w:rPr>
              <w:t>Construirea și reabilitarea facilităților auxiliare</w:t>
            </w:r>
          </w:p>
          <w:p w14:paraId="7773D01F">
            <w:pPr>
              <w:pStyle w:val="42"/>
              <w:spacing w:line="276" w:lineRule="auto"/>
              <w:rPr>
                <w:sz w:val="22"/>
                <w:szCs w:val="22"/>
              </w:rPr>
            </w:pPr>
            <w:r>
              <w:rPr>
                <w:sz w:val="22"/>
                <w:szCs w:val="22"/>
              </w:rPr>
              <w:t>Construirea și reabilitarea facilităților auxiliare</w:t>
            </w:r>
          </w:p>
        </w:tc>
        <w:tc>
          <w:tcPr>
            <w:tcW w:w="1350" w:type="dxa"/>
          </w:tcPr>
          <w:p w14:paraId="31042847">
            <w:pPr>
              <w:tabs>
                <w:tab w:val="left" w:pos="1848"/>
              </w:tabs>
              <w:spacing w:line="276" w:lineRule="auto"/>
              <w:ind w:firstLine="0"/>
              <w:jc w:val="left"/>
              <w:rPr>
                <w:rFonts w:cs="Arial"/>
                <w:sz w:val="22"/>
              </w:rPr>
            </w:pPr>
            <w:r>
              <w:rPr>
                <w:rFonts w:cs="Arial"/>
                <w:sz w:val="22"/>
              </w:rPr>
              <w:t>Programul Național Pentru Redresare și Reziliență</w:t>
            </w:r>
          </w:p>
        </w:tc>
        <w:tc>
          <w:tcPr>
            <w:tcW w:w="1170" w:type="dxa"/>
          </w:tcPr>
          <w:p w14:paraId="715473EC">
            <w:pPr>
              <w:spacing w:line="276" w:lineRule="auto"/>
              <w:ind w:firstLine="0"/>
              <w:rPr>
                <w:rFonts w:cs="Arial"/>
                <w:sz w:val="22"/>
              </w:rPr>
            </w:pPr>
            <w:r>
              <w:rPr>
                <w:rFonts w:cs="Arial"/>
                <w:sz w:val="22"/>
              </w:rPr>
              <w:t>În implementare-</w:t>
            </w:r>
          </w:p>
          <w:p w14:paraId="4FF01547">
            <w:pPr>
              <w:spacing w:line="276" w:lineRule="auto"/>
              <w:ind w:firstLine="0"/>
              <w:rPr>
                <w:rFonts w:cs="Arial"/>
                <w:sz w:val="22"/>
              </w:rPr>
            </w:pPr>
            <w:r>
              <w:rPr>
                <w:rFonts w:cs="Arial"/>
                <w:sz w:val="22"/>
              </w:rPr>
              <w:t>Nr. contract</w:t>
            </w:r>
          </w:p>
          <w:p w14:paraId="53FE756C">
            <w:pPr>
              <w:tabs>
                <w:tab w:val="left" w:pos="1848"/>
              </w:tabs>
              <w:spacing w:line="276" w:lineRule="auto"/>
              <w:ind w:firstLine="0"/>
              <w:rPr>
                <w:rFonts w:cs="Arial"/>
                <w:sz w:val="22"/>
              </w:rPr>
            </w:pPr>
            <w:r>
              <w:rPr>
                <w:rFonts w:cs="Arial"/>
                <w:sz w:val="22"/>
              </w:rPr>
              <w:t>LIC0000008MH18032025/20.03.2025</w:t>
            </w:r>
          </w:p>
        </w:tc>
        <w:tc>
          <w:tcPr>
            <w:tcW w:w="1026" w:type="dxa"/>
          </w:tcPr>
          <w:p w14:paraId="63EB8520">
            <w:pPr>
              <w:tabs>
                <w:tab w:val="left" w:pos="1848"/>
              </w:tabs>
              <w:spacing w:line="276" w:lineRule="auto"/>
              <w:ind w:firstLine="0"/>
              <w:rPr>
                <w:rFonts w:cs="Arial"/>
                <w:sz w:val="22"/>
              </w:rPr>
            </w:pPr>
            <w:r>
              <w:rPr>
                <w:rFonts w:cs="Arial"/>
                <w:sz w:val="22"/>
              </w:rPr>
              <w:t>30.06.2026</w:t>
            </w:r>
          </w:p>
        </w:tc>
        <w:tc>
          <w:tcPr>
            <w:tcW w:w="684" w:type="dxa"/>
          </w:tcPr>
          <w:p w14:paraId="033BF9EA">
            <w:pPr>
              <w:tabs>
                <w:tab w:val="left" w:pos="1848"/>
              </w:tabs>
              <w:spacing w:line="276" w:lineRule="auto"/>
              <w:rPr>
                <w:rFonts w:cs="Arial"/>
                <w:sz w:val="22"/>
              </w:rPr>
            </w:pPr>
          </w:p>
          <w:p w14:paraId="5D5F151C">
            <w:pPr>
              <w:tabs>
                <w:tab w:val="left" w:pos="1848"/>
              </w:tabs>
              <w:spacing w:line="276" w:lineRule="auto"/>
              <w:rPr>
                <w:rFonts w:cs="Arial"/>
                <w:sz w:val="22"/>
              </w:rPr>
            </w:pPr>
          </w:p>
        </w:tc>
        <w:tc>
          <w:tcPr>
            <w:tcW w:w="734" w:type="dxa"/>
          </w:tcPr>
          <w:p w14:paraId="23B9B003">
            <w:pPr>
              <w:tabs>
                <w:tab w:val="left" w:pos="1848"/>
              </w:tabs>
              <w:spacing w:line="276" w:lineRule="auto"/>
              <w:rPr>
                <w:rFonts w:cs="Arial"/>
                <w:sz w:val="22"/>
              </w:rPr>
            </w:pPr>
            <w:r>
              <w:rPr>
                <w:rFonts w:cs="Arial"/>
                <w:sz w:val="22"/>
              </w:rPr>
              <w:t>xx</w:t>
            </w:r>
          </w:p>
        </w:tc>
      </w:tr>
      <w:tr w14:paraId="4032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69626DB">
            <w:pPr>
              <w:spacing w:line="276" w:lineRule="auto"/>
              <w:rPr>
                <w:rFonts w:cs="Arial"/>
                <w:sz w:val="22"/>
              </w:rPr>
            </w:pPr>
            <w:r>
              <w:rPr>
                <w:rFonts w:cs="Arial"/>
                <w:sz w:val="22"/>
              </w:rPr>
              <w:t>3</w:t>
            </w:r>
          </w:p>
          <w:p w14:paraId="595D7CC5">
            <w:pPr>
              <w:rPr>
                <w:rFonts w:cs="Arial"/>
                <w:sz w:val="22"/>
              </w:rPr>
            </w:pPr>
          </w:p>
          <w:p w14:paraId="728869E7">
            <w:pPr>
              <w:rPr>
                <w:rFonts w:cs="Arial"/>
                <w:sz w:val="22"/>
              </w:rPr>
            </w:pPr>
            <w:r>
              <w:rPr>
                <w:rFonts w:cs="Arial"/>
                <w:sz w:val="22"/>
              </w:rPr>
              <w:t>340</w:t>
            </w:r>
          </w:p>
        </w:tc>
        <w:tc>
          <w:tcPr>
            <w:tcW w:w="3330" w:type="dxa"/>
          </w:tcPr>
          <w:p w14:paraId="7653C909">
            <w:pPr>
              <w:tabs>
                <w:tab w:val="left" w:pos="1461"/>
              </w:tabs>
              <w:spacing w:line="276" w:lineRule="auto"/>
              <w:ind w:firstLine="0"/>
              <w:rPr>
                <w:rFonts w:cs="Arial"/>
                <w:sz w:val="22"/>
              </w:rPr>
            </w:pPr>
            <w:r>
              <w:rPr>
                <w:rFonts w:cs="Arial"/>
                <w:sz w:val="22"/>
              </w:rPr>
              <w:t>Dotare cu autoutilitară mobilă pentru Serviciul Situații de Urgență Șimian</w:t>
            </w:r>
          </w:p>
        </w:tc>
        <w:tc>
          <w:tcPr>
            <w:tcW w:w="2790" w:type="dxa"/>
          </w:tcPr>
          <w:p w14:paraId="5EA87DFE">
            <w:pPr>
              <w:tabs>
                <w:tab w:val="left" w:pos="1848"/>
              </w:tabs>
              <w:spacing w:line="276" w:lineRule="auto"/>
              <w:ind w:firstLine="0"/>
              <w:jc w:val="left"/>
              <w:rPr>
                <w:rFonts w:cs="Arial"/>
                <w:sz w:val="22"/>
              </w:rPr>
            </w:pPr>
            <w:r>
              <w:rPr>
                <w:rFonts w:cs="Arial"/>
                <w:sz w:val="22"/>
              </w:rPr>
              <w:t>Reducerea timpului de răspuns în situații de urgență.</w:t>
            </w:r>
          </w:p>
          <w:p w14:paraId="00F6549D">
            <w:pPr>
              <w:tabs>
                <w:tab w:val="left" w:pos="1848"/>
              </w:tabs>
              <w:spacing w:line="276" w:lineRule="auto"/>
              <w:ind w:firstLine="0"/>
              <w:jc w:val="left"/>
              <w:rPr>
                <w:rFonts w:cs="Arial"/>
                <w:sz w:val="22"/>
              </w:rPr>
            </w:pPr>
            <w:r>
              <w:rPr>
                <w:rFonts w:cs="Arial"/>
                <w:sz w:val="22"/>
              </w:rPr>
              <w:t>Creșterea siguranței populației prin intervenții rapide și eficiente.</w:t>
            </w:r>
          </w:p>
          <w:p w14:paraId="0518CEA0">
            <w:pPr>
              <w:tabs>
                <w:tab w:val="left" w:pos="1848"/>
              </w:tabs>
              <w:spacing w:line="276" w:lineRule="auto"/>
              <w:ind w:firstLine="0"/>
              <w:jc w:val="left"/>
              <w:rPr>
                <w:rFonts w:cs="Arial"/>
                <w:sz w:val="22"/>
              </w:rPr>
            </w:pPr>
            <w:r>
              <w:rPr>
                <w:rFonts w:cs="Arial"/>
                <w:sz w:val="22"/>
              </w:rPr>
              <w:t>Îmbunătățirea capacității operaționale a serviciului de urgență.</w:t>
            </w:r>
          </w:p>
          <w:p w14:paraId="23BB7D76">
            <w:pPr>
              <w:tabs>
                <w:tab w:val="left" w:pos="1848"/>
              </w:tabs>
              <w:spacing w:line="276" w:lineRule="auto"/>
              <w:ind w:firstLine="0"/>
              <w:jc w:val="left"/>
              <w:rPr>
                <w:rFonts w:cs="Arial"/>
                <w:sz w:val="22"/>
              </w:rPr>
            </w:pPr>
            <w:r>
              <w:rPr>
                <w:rFonts w:cs="Arial"/>
                <w:sz w:val="22"/>
              </w:rPr>
              <w:t>Modernizarea infrastructurii pentru gestionarea riscurilor.</w:t>
            </w:r>
          </w:p>
          <w:p w14:paraId="6AC8D2B9">
            <w:pPr>
              <w:tabs>
                <w:tab w:val="left" w:pos="1848"/>
              </w:tabs>
              <w:spacing w:line="276" w:lineRule="auto"/>
              <w:ind w:firstLine="0"/>
              <w:jc w:val="left"/>
              <w:rPr>
                <w:rFonts w:cs="Arial"/>
                <w:sz w:val="22"/>
              </w:rPr>
            </w:pPr>
            <w:r>
              <w:rPr>
                <w:rFonts w:cs="Arial"/>
                <w:sz w:val="22"/>
              </w:rPr>
              <w:t>Activități</w:t>
            </w:r>
          </w:p>
          <w:p w14:paraId="3548E3E7">
            <w:pPr>
              <w:tabs>
                <w:tab w:val="left" w:pos="1848"/>
              </w:tabs>
              <w:spacing w:line="276" w:lineRule="auto"/>
              <w:ind w:firstLine="0"/>
              <w:jc w:val="left"/>
              <w:rPr>
                <w:rFonts w:cs="Arial"/>
                <w:sz w:val="22"/>
              </w:rPr>
            </w:pPr>
            <w:r>
              <w:rPr>
                <w:rFonts w:cs="Arial"/>
                <w:sz w:val="22"/>
              </w:rPr>
              <w:t xml:space="preserve"> Achiziția și echiparea autoutilitarei</w:t>
            </w:r>
          </w:p>
          <w:p w14:paraId="485BEB29">
            <w:pPr>
              <w:tabs>
                <w:tab w:val="left" w:pos="1848"/>
              </w:tabs>
              <w:spacing w:line="276" w:lineRule="auto"/>
              <w:ind w:firstLine="0"/>
              <w:jc w:val="left"/>
              <w:rPr>
                <w:rFonts w:cs="Arial"/>
                <w:sz w:val="22"/>
              </w:rPr>
            </w:pPr>
            <w:r>
              <w:rPr>
                <w:rFonts w:cs="Arial"/>
                <w:sz w:val="22"/>
              </w:rPr>
              <w:t>Instruirea personalului</w:t>
            </w:r>
          </w:p>
          <w:p w14:paraId="60C25FC7">
            <w:pPr>
              <w:pStyle w:val="42"/>
              <w:spacing w:line="276" w:lineRule="auto"/>
              <w:rPr>
                <w:sz w:val="22"/>
                <w:szCs w:val="22"/>
              </w:rPr>
            </w:pPr>
            <w:r>
              <w:rPr>
                <w:sz w:val="22"/>
                <w:szCs w:val="22"/>
              </w:rPr>
              <w:t>Implementarea unui plan de intervenție</w:t>
            </w:r>
          </w:p>
        </w:tc>
        <w:tc>
          <w:tcPr>
            <w:tcW w:w="1350" w:type="dxa"/>
          </w:tcPr>
          <w:p w14:paraId="44D26271">
            <w:pPr>
              <w:pStyle w:val="42"/>
              <w:spacing w:line="276" w:lineRule="auto"/>
              <w:rPr>
                <w:sz w:val="22"/>
                <w:szCs w:val="22"/>
                <w:lang w:val="ro-RO"/>
              </w:rPr>
            </w:pPr>
            <w:r>
              <w:rPr>
                <w:sz w:val="22"/>
                <w:szCs w:val="22"/>
                <w:lang w:val="ro-RO"/>
              </w:rPr>
              <w:t>Programul De Dezvoltare Locală</w:t>
            </w:r>
          </w:p>
          <w:p w14:paraId="56176BA8">
            <w:pPr>
              <w:pStyle w:val="42"/>
              <w:spacing w:line="276" w:lineRule="auto"/>
              <w:rPr>
                <w:sz w:val="22"/>
                <w:szCs w:val="22"/>
                <w:lang w:val="ro-RO"/>
              </w:rPr>
            </w:pPr>
          </w:p>
          <w:p w14:paraId="1BE14D1B">
            <w:pPr>
              <w:tabs>
                <w:tab w:val="left" w:pos="1848"/>
              </w:tabs>
              <w:spacing w:line="276" w:lineRule="auto"/>
              <w:ind w:firstLine="0"/>
              <w:jc w:val="left"/>
              <w:rPr>
                <w:rFonts w:cs="Arial"/>
                <w:sz w:val="22"/>
              </w:rPr>
            </w:pPr>
          </w:p>
        </w:tc>
        <w:tc>
          <w:tcPr>
            <w:tcW w:w="1170" w:type="dxa"/>
          </w:tcPr>
          <w:p w14:paraId="5B89E75E">
            <w:pPr>
              <w:spacing w:line="276" w:lineRule="auto"/>
              <w:ind w:firstLine="0"/>
              <w:rPr>
                <w:rFonts w:cs="Arial"/>
                <w:sz w:val="22"/>
              </w:rPr>
            </w:pPr>
            <w:r>
              <w:rPr>
                <w:rFonts w:cs="Arial"/>
                <w:sz w:val="22"/>
              </w:rPr>
              <w:t>În implementare-</w:t>
            </w:r>
          </w:p>
          <w:p w14:paraId="547DEB19">
            <w:pPr>
              <w:spacing w:line="276" w:lineRule="auto"/>
              <w:ind w:firstLine="0"/>
              <w:rPr>
                <w:rFonts w:cs="Arial"/>
                <w:sz w:val="22"/>
              </w:rPr>
            </w:pPr>
            <w:r>
              <w:rPr>
                <w:rFonts w:cs="Arial"/>
                <w:sz w:val="22"/>
              </w:rPr>
              <w:t>Nr. contract</w:t>
            </w:r>
          </w:p>
          <w:p w14:paraId="7DB0F1C6">
            <w:pPr>
              <w:spacing w:line="276" w:lineRule="auto"/>
              <w:ind w:firstLine="0"/>
              <w:rPr>
                <w:rFonts w:cs="Arial"/>
                <w:sz w:val="22"/>
              </w:rPr>
            </w:pPr>
            <w:r>
              <w:rPr>
                <w:rFonts w:cs="Arial"/>
                <w:sz w:val="22"/>
              </w:rPr>
              <w:t>C1920074X222942713622</w:t>
            </w:r>
          </w:p>
          <w:p w14:paraId="08383504">
            <w:pPr>
              <w:spacing w:line="276" w:lineRule="auto"/>
              <w:ind w:firstLine="0"/>
              <w:rPr>
                <w:rFonts w:cs="Arial"/>
                <w:sz w:val="22"/>
              </w:rPr>
            </w:pPr>
            <w:r>
              <w:rPr>
                <w:rFonts w:cs="Arial"/>
                <w:sz w:val="22"/>
              </w:rPr>
              <w:t>/25.02.2025</w:t>
            </w:r>
          </w:p>
          <w:p w14:paraId="1BD21CD6">
            <w:pPr>
              <w:tabs>
                <w:tab w:val="left" w:pos="1848"/>
              </w:tabs>
              <w:spacing w:line="276" w:lineRule="auto"/>
              <w:ind w:firstLine="0"/>
              <w:jc w:val="left"/>
              <w:rPr>
                <w:rFonts w:cs="Arial"/>
                <w:sz w:val="22"/>
              </w:rPr>
            </w:pPr>
          </w:p>
        </w:tc>
        <w:tc>
          <w:tcPr>
            <w:tcW w:w="1026" w:type="dxa"/>
          </w:tcPr>
          <w:p w14:paraId="66A9085E">
            <w:pPr>
              <w:tabs>
                <w:tab w:val="left" w:pos="1848"/>
              </w:tabs>
              <w:spacing w:line="276" w:lineRule="auto"/>
              <w:ind w:firstLine="0"/>
              <w:rPr>
                <w:rFonts w:cs="Arial"/>
                <w:sz w:val="22"/>
              </w:rPr>
            </w:pPr>
            <w:r>
              <w:rPr>
                <w:rFonts w:cs="Arial"/>
                <w:sz w:val="22"/>
              </w:rPr>
              <w:t>30.09.2025</w:t>
            </w:r>
          </w:p>
        </w:tc>
        <w:tc>
          <w:tcPr>
            <w:tcW w:w="684" w:type="dxa"/>
          </w:tcPr>
          <w:p w14:paraId="7DB2FB0D">
            <w:pPr>
              <w:tabs>
                <w:tab w:val="left" w:pos="1848"/>
              </w:tabs>
              <w:spacing w:line="276" w:lineRule="auto"/>
              <w:rPr>
                <w:rFonts w:cs="Arial"/>
                <w:sz w:val="22"/>
              </w:rPr>
            </w:pPr>
          </w:p>
        </w:tc>
        <w:tc>
          <w:tcPr>
            <w:tcW w:w="734" w:type="dxa"/>
          </w:tcPr>
          <w:p w14:paraId="6564C295">
            <w:pPr>
              <w:tabs>
                <w:tab w:val="left" w:pos="1848"/>
              </w:tabs>
              <w:spacing w:line="276" w:lineRule="auto"/>
              <w:rPr>
                <w:rFonts w:cs="Arial"/>
                <w:sz w:val="22"/>
              </w:rPr>
            </w:pPr>
          </w:p>
          <w:p w14:paraId="56561A0E">
            <w:pPr>
              <w:tabs>
                <w:tab w:val="left" w:pos="1848"/>
              </w:tabs>
              <w:spacing w:line="276" w:lineRule="auto"/>
              <w:rPr>
                <w:rFonts w:cs="Arial"/>
                <w:sz w:val="22"/>
              </w:rPr>
            </w:pPr>
            <w:r>
              <w:rPr>
                <w:rFonts w:cs="Arial"/>
                <w:sz w:val="22"/>
              </w:rPr>
              <w:t>xx</w:t>
            </w:r>
          </w:p>
        </w:tc>
      </w:tr>
      <w:tr w14:paraId="4F44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6C72BA6F">
            <w:pPr>
              <w:spacing w:line="276" w:lineRule="auto"/>
              <w:rPr>
                <w:rFonts w:cs="Arial"/>
                <w:sz w:val="22"/>
              </w:rPr>
            </w:pPr>
            <w:r>
              <w:rPr>
                <w:rFonts w:cs="Arial"/>
                <w:sz w:val="22"/>
              </w:rPr>
              <w:t>441</w:t>
            </w:r>
          </w:p>
        </w:tc>
        <w:tc>
          <w:tcPr>
            <w:tcW w:w="3330" w:type="dxa"/>
          </w:tcPr>
          <w:p w14:paraId="086727F1">
            <w:pPr>
              <w:tabs>
                <w:tab w:val="left" w:pos="1461"/>
              </w:tabs>
              <w:spacing w:line="276" w:lineRule="auto"/>
              <w:ind w:firstLine="0"/>
              <w:jc w:val="left"/>
              <w:rPr>
                <w:rFonts w:cs="Arial"/>
                <w:sz w:val="22"/>
              </w:rPr>
            </w:pPr>
            <w:r>
              <w:rPr>
                <w:rFonts w:cs="Arial"/>
                <w:sz w:val="22"/>
                <w:lang w:val="ro-RO"/>
              </w:rPr>
              <w:t>Construire Camin Cultural ,Sat Simian Com. Simian</w:t>
            </w:r>
          </w:p>
        </w:tc>
        <w:tc>
          <w:tcPr>
            <w:tcW w:w="2790" w:type="dxa"/>
          </w:tcPr>
          <w:p w14:paraId="7EE86A8D">
            <w:pPr>
              <w:pStyle w:val="42"/>
              <w:spacing w:line="276" w:lineRule="auto"/>
              <w:rPr>
                <w:sz w:val="22"/>
                <w:szCs w:val="22"/>
              </w:rPr>
            </w:pPr>
            <w:r>
              <w:rPr>
                <w:bCs/>
                <w:sz w:val="22"/>
                <w:szCs w:val="22"/>
                <w:lang w:val="ro-RO"/>
              </w:rPr>
              <w:t>Construire Camin Cultural</w:t>
            </w:r>
          </w:p>
        </w:tc>
        <w:tc>
          <w:tcPr>
            <w:tcW w:w="1350" w:type="dxa"/>
          </w:tcPr>
          <w:p w14:paraId="354C9437">
            <w:pPr>
              <w:tabs>
                <w:tab w:val="left" w:pos="1848"/>
              </w:tabs>
              <w:spacing w:line="276" w:lineRule="auto"/>
              <w:ind w:firstLine="0"/>
              <w:jc w:val="left"/>
              <w:rPr>
                <w:rFonts w:cs="Arial"/>
                <w:sz w:val="22"/>
              </w:rPr>
            </w:pPr>
            <w:r>
              <w:rPr>
                <w:rFonts w:cs="Arial"/>
                <w:sz w:val="22"/>
                <w:lang w:val="ro-RO"/>
              </w:rPr>
              <w:t>Buget local/Buget de Stat(CNI)</w:t>
            </w:r>
          </w:p>
        </w:tc>
        <w:tc>
          <w:tcPr>
            <w:tcW w:w="1170" w:type="dxa"/>
          </w:tcPr>
          <w:p w14:paraId="61255EA6">
            <w:pPr>
              <w:tabs>
                <w:tab w:val="left" w:pos="1848"/>
              </w:tabs>
              <w:spacing w:line="276" w:lineRule="auto"/>
              <w:ind w:firstLine="0"/>
              <w:jc w:val="left"/>
              <w:rPr>
                <w:rFonts w:cs="Arial"/>
                <w:sz w:val="22"/>
              </w:rPr>
            </w:pPr>
            <w:r>
              <w:rPr>
                <w:rFonts w:cs="Arial"/>
                <w:sz w:val="22"/>
                <w:lang w:val="ro-RO"/>
              </w:rPr>
              <w:t>In implementare</w:t>
            </w:r>
          </w:p>
        </w:tc>
        <w:tc>
          <w:tcPr>
            <w:tcW w:w="1026" w:type="dxa"/>
          </w:tcPr>
          <w:p w14:paraId="71ACFB91">
            <w:pPr>
              <w:tabs>
                <w:tab w:val="left" w:pos="1848"/>
              </w:tabs>
              <w:spacing w:line="276" w:lineRule="auto"/>
              <w:ind w:firstLine="0"/>
              <w:rPr>
                <w:rFonts w:cs="Arial"/>
                <w:sz w:val="22"/>
              </w:rPr>
            </w:pPr>
            <w:r>
              <w:rPr>
                <w:rFonts w:cs="Arial"/>
                <w:sz w:val="22"/>
                <w:lang w:val="ro-RO"/>
              </w:rPr>
              <w:t>2025</w:t>
            </w:r>
          </w:p>
        </w:tc>
        <w:tc>
          <w:tcPr>
            <w:tcW w:w="684" w:type="dxa"/>
          </w:tcPr>
          <w:p w14:paraId="143BCDC8">
            <w:pPr>
              <w:tabs>
                <w:tab w:val="left" w:pos="1848"/>
              </w:tabs>
              <w:spacing w:line="276" w:lineRule="auto"/>
              <w:rPr>
                <w:rFonts w:cs="Arial"/>
                <w:sz w:val="22"/>
              </w:rPr>
            </w:pPr>
          </w:p>
        </w:tc>
        <w:tc>
          <w:tcPr>
            <w:tcW w:w="734" w:type="dxa"/>
          </w:tcPr>
          <w:p w14:paraId="48E4F5D6">
            <w:pPr>
              <w:tabs>
                <w:tab w:val="left" w:pos="1848"/>
              </w:tabs>
              <w:spacing w:line="276" w:lineRule="auto"/>
              <w:rPr>
                <w:rFonts w:cs="Arial"/>
                <w:sz w:val="22"/>
                <w:lang w:val="ro-RO"/>
              </w:rPr>
            </w:pPr>
            <w:r>
              <w:rPr>
                <w:rFonts w:cs="Arial"/>
                <w:sz w:val="22"/>
                <w:lang w:val="ro-RO"/>
              </w:rPr>
              <w:t>xx</w:t>
            </w:r>
          </w:p>
          <w:p w14:paraId="55523EE8">
            <w:pPr>
              <w:tabs>
                <w:tab w:val="left" w:pos="1848"/>
              </w:tabs>
              <w:spacing w:line="276" w:lineRule="auto"/>
              <w:rPr>
                <w:rFonts w:cs="Arial"/>
                <w:sz w:val="22"/>
              </w:rPr>
            </w:pPr>
          </w:p>
        </w:tc>
      </w:tr>
      <w:tr w14:paraId="096F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186138D1">
            <w:pPr>
              <w:spacing w:line="276" w:lineRule="auto"/>
              <w:rPr>
                <w:rFonts w:cs="Arial"/>
                <w:sz w:val="22"/>
              </w:rPr>
            </w:pPr>
            <w:r>
              <w:rPr>
                <w:rFonts w:cs="Arial"/>
                <w:sz w:val="22"/>
              </w:rPr>
              <w:t>342</w:t>
            </w:r>
          </w:p>
        </w:tc>
        <w:tc>
          <w:tcPr>
            <w:tcW w:w="3330" w:type="dxa"/>
          </w:tcPr>
          <w:p w14:paraId="64CD7647">
            <w:pPr>
              <w:tabs>
                <w:tab w:val="left" w:pos="1461"/>
              </w:tabs>
              <w:spacing w:line="276" w:lineRule="auto"/>
              <w:ind w:firstLine="0"/>
              <w:jc w:val="left"/>
              <w:rPr>
                <w:rFonts w:cs="Arial"/>
                <w:sz w:val="22"/>
                <w:lang w:val="ro-RO"/>
              </w:rPr>
            </w:pPr>
            <w:r>
              <w:rPr>
                <w:rFonts w:cs="Arial"/>
                <w:color w:val="000000" w:themeColor="text1"/>
                <w:sz w:val="22"/>
                <w:lang w:val="ro-RO"/>
                <w14:textFill>
                  <w14:solidFill>
                    <w14:schemeClr w14:val="tx1"/>
                  </w14:solidFill>
                </w14:textFill>
              </w:rPr>
              <w:t>Construire teren stadion si imprejmuire, sat Simian,com Simian</w:t>
            </w:r>
          </w:p>
        </w:tc>
        <w:tc>
          <w:tcPr>
            <w:tcW w:w="2790" w:type="dxa"/>
          </w:tcPr>
          <w:p w14:paraId="393F5F28">
            <w:pPr>
              <w:pStyle w:val="42"/>
              <w:spacing w:line="276" w:lineRule="auto"/>
              <w:rPr>
                <w:bCs/>
                <w:sz w:val="22"/>
                <w:szCs w:val="22"/>
                <w:lang w:val="ro-RO"/>
              </w:rPr>
            </w:pPr>
            <w:r>
              <w:rPr>
                <w:iCs/>
                <w:color w:val="000000" w:themeColor="text1"/>
                <w:sz w:val="22"/>
                <w:szCs w:val="22"/>
                <w:lang w:val="ro-RO"/>
                <w14:textFill>
                  <w14:solidFill>
                    <w14:schemeClr w14:val="tx1"/>
                  </w14:solidFill>
                </w14:textFill>
              </w:rPr>
              <w:t>Finalizare stadion</w:t>
            </w:r>
          </w:p>
        </w:tc>
        <w:tc>
          <w:tcPr>
            <w:tcW w:w="1350" w:type="dxa"/>
          </w:tcPr>
          <w:p w14:paraId="4F324172">
            <w:pPr>
              <w:tabs>
                <w:tab w:val="left" w:pos="1848"/>
              </w:tabs>
              <w:spacing w:line="276" w:lineRule="auto"/>
              <w:ind w:firstLine="0"/>
              <w:jc w:val="left"/>
              <w:rPr>
                <w:rFonts w:cs="Arial"/>
                <w:sz w:val="22"/>
                <w:lang w:val="ro-RO"/>
              </w:rPr>
            </w:pPr>
            <w:r>
              <w:rPr>
                <w:rFonts w:cs="Arial"/>
                <w:color w:val="000000" w:themeColor="text1"/>
                <w:sz w:val="22"/>
                <w:lang w:val="ro-RO"/>
                <w14:textFill>
                  <w14:solidFill>
                    <w14:schemeClr w14:val="tx1"/>
                  </w14:solidFill>
                </w14:textFill>
              </w:rPr>
              <w:t>Buget Local</w:t>
            </w:r>
          </w:p>
        </w:tc>
        <w:tc>
          <w:tcPr>
            <w:tcW w:w="1170" w:type="dxa"/>
          </w:tcPr>
          <w:p w14:paraId="560589EE">
            <w:pPr>
              <w:tabs>
                <w:tab w:val="left" w:pos="1848"/>
              </w:tabs>
              <w:spacing w:line="276" w:lineRule="auto"/>
              <w:ind w:firstLine="0"/>
              <w:jc w:val="left"/>
              <w:rPr>
                <w:rFonts w:cs="Arial"/>
                <w:sz w:val="22"/>
                <w:lang w:val="ro-RO"/>
              </w:rPr>
            </w:pPr>
            <w:r>
              <w:rPr>
                <w:rFonts w:cs="Arial"/>
                <w:color w:val="000000" w:themeColor="text1"/>
                <w:sz w:val="22"/>
                <w:lang w:val="ro-RO"/>
                <w14:textFill>
                  <w14:solidFill>
                    <w14:schemeClr w14:val="tx1"/>
                  </w14:solidFill>
                </w14:textFill>
              </w:rPr>
              <w:t>In implementare</w:t>
            </w:r>
          </w:p>
        </w:tc>
        <w:tc>
          <w:tcPr>
            <w:tcW w:w="1026" w:type="dxa"/>
          </w:tcPr>
          <w:p w14:paraId="2D894F4C">
            <w:pPr>
              <w:tabs>
                <w:tab w:val="left" w:pos="1848"/>
              </w:tabs>
              <w:spacing w:line="276" w:lineRule="auto"/>
              <w:ind w:firstLine="0"/>
              <w:rPr>
                <w:rFonts w:cs="Arial"/>
                <w:sz w:val="22"/>
                <w:lang w:val="ro-RO"/>
              </w:rPr>
            </w:pPr>
            <w:r>
              <w:rPr>
                <w:rFonts w:cs="Arial"/>
                <w:color w:val="000000" w:themeColor="text1"/>
                <w:sz w:val="22"/>
                <w:lang w:val="ro-RO"/>
                <w14:textFill>
                  <w14:solidFill>
                    <w14:schemeClr w14:val="tx1"/>
                  </w14:solidFill>
                </w14:textFill>
              </w:rPr>
              <w:t>2025</w:t>
            </w:r>
          </w:p>
        </w:tc>
        <w:tc>
          <w:tcPr>
            <w:tcW w:w="684" w:type="dxa"/>
          </w:tcPr>
          <w:p w14:paraId="07B3D64D">
            <w:pPr>
              <w:tabs>
                <w:tab w:val="left" w:pos="1848"/>
              </w:tabs>
              <w:spacing w:line="276" w:lineRule="auto"/>
              <w:rPr>
                <w:rFonts w:cs="Arial"/>
                <w:sz w:val="22"/>
              </w:rPr>
            </w:pPr>
          </w:p>
        </w:tc>
        <w:tc>
          <w:tcPr>
            <w:tcW w:w="734" w:type="dxa"/>
          </w:tcPr>
          <w:p w14:paraId="19310A96">
            <w:pPr>
              <w:tabs>
                <w:tab w:val="left" w:pos="1848"/>
              </w:tabs>
              <w:spacing w:line="276" w:lineRule="auto"/>
              <w:rPr>
                <w:rFonts w:cs="Arial"/>
                <w:sz w:val="22"/>
                <w:lang w:val="ro-RO"/>
              </w:rPr>
            </w:pPr>
            <w:r>
              <w:rPr>
                <w:rFonts w:cs="Arial"/>
                <w:sz w:val="22"/>
                <w:lang w:val="ro-RO"/>
              </w:rPr>
              <w:t>xx</w:t>
            </w:r>
          </w:p>
        </w:tc>
      </w:tr>
      <w:tr w14:paraId="371B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82A0CE1">
            <w:pPr>
              <w:spacing w:line="276" w:lineRule="auto"/>
              <w:rPr>
                <w:rFonts w:cs="Arial"/>
                <w:sz w:val="22"/>
              </w:rPr>
            </w:pPr>
            <w:r>
              <w:rPr>
                <w:rFonts w:cs="Arial"/>
                <w:sz w:val="22"/>
              </w:rPr>
              <w:t>443</w:t>
            </w:r>
          </w:p>
        </w:tc>
        <w:tc>
          <w:tcPr>
            <w:tcW w:w="3330" w:type="dxa"/>
          </w:tcPr>
          <w:p w14:paraId="103CEAF5">
            <w:pPr>
              <w:tabs>
                <w:tab w:val="left" w:pos="1461"/>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Inființarea unui centru de pregatire sportivă pentru tinerii din localitate</w:t>
            </w:r>
          </w:p>
        </w:tc>
        <w:tc>
          <w:tcPr>
            <w:tcW w:w="2790" w:type="dxa"/>
          </w:tcPr>
          <w:p w14:paraId="0C0E7CF8">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publice</w:t>
            </w:r>
          </w:p>
        </w:tc>
        <w:tc>
          <w:tcPr>
            <w:tcW w:w="1350" w:type="dxa"/>
          </w:tcPr>
          <w:p w14:paraId="692D45A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08D63459">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22DCDFE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0E868866">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5A2B5E9C">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4CD9714B">
            <w:pPr>
              <w:tabs>
                <w:tab w:val="left" w:pos="1848"/>
              </w:tabs>
              <w:spacing w:line="276" w:lineRule="auto"/>
              <w:rPr>
                <w:rFonts w:cs="Arial"/>
                <w:sz w:val="22"/>
              </w:rPr>
            </w:pPr>
          </w:p>
        </w:tc>
        <w:tc>
          <w:tcPr>
            <w:tcW w:w="734" w:type="dxa"/>
          </w:tcPr>
          <w:p w14:paraId="4CDC364B">
            <w:pPr>
              <w:tabs>
                <w:tab w:val="left" w:pos="1848"/>
              </w:tabs>
              <w:spacing w:line="276" w:lineRule="auto"/>
              <w:rPr>
                <w:rFonts w:cs="Arial"/>
                <w:sz w:val="22"/>
                <w:lang w:val="ro-RO"/>
              </w:rPr>
            </w:pPr>
            <w:r>
              <w:rPr>
                <w:rFonts w:cs="Arial"/>
                <w:sz w:val="22"/>
                <w:lang w:val="ro-RO"/>
              </w:rPr>
              <w:t>xx</w:t>
            </w:r>
          </w:p>
        </w:tc>
      </w:tr>
      <w:tr w14:paraId="203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244A6F15">
            <w:pPr>
              <w:spacing w:line="276" w:lineRule="auto"/>
              <w:rPr>
                <w:rFonts w:cs="Arial"/>
                <w:sz w:val="22"/>
              </w:rPr>
            </w:pPr>
            <w:r>
              <w:rPr>
                <w:rFonts w:cs="Arial"/>
                <w:sz w:val="22"/>
              </w:rPr>
              <w:t>344</w:t>
            </w:r>
          </w:p>
        </w:tc>
        <w:tc>
          <w:tcPr>
            <w:tcW w:w="3330" w:type="dxa"/>
          </w:tcPr>
          <w:p w14:paraId="569445CE">
            <w:pPr>
              <w:tabs>
                <w:tab w:val="left" w:pos="1461"/>
              </w:tabs>
              <w:spacing w:line="276" w:lineRule="auto"/>
              <w:ind w:firstLine="0"/>
              <w:jc w:val="left"/>
              <w:rPr>
                <w:rFonts w:cs="Arial"/>
                <w:sz w:val="22"/>
                <w:lang w:val="ro-RO"/>
              </w:rPr>
            </w:pPr>
            <w:r>
              <w:rPr>
                <w:rFonts w:cs="Arial"/>
                <w:iCs/>
                <w:color w:val="000000" w:themeColor="text1"/>
                <w:sz w:val="22"/>
                <w:lang w:val="ro-RO"/>
                <w14:textFill>
                  <w14:solidFill>
                    <w14:schemeClr w14:val="tx1"/>
                  </w14:solidFill>
                </w14:textFill>
              </w:rPr>
              <w:t>Reabilitare Scoala Primara sat Dudasul Cernetiului ,com Simian</w:t>
            </w:r>
          </w:p>
        </w:tc>
        <w:tc>
          <w:tcPr>
            <w:tcW w:w="2790" w:type="dxa"/>
          </w:tcPr>
          <w:p w14:paraId="1146CD20">
            <w:pPr>
              <w:pStyle w:val="42"/>
              <w:spacing w:line="276" w:lineRule="auto"/>
              <w:rPr>
                <w:bCs/>
                <w:sz w:val="22"/>
                <w:szCs w:val="22"/>
                <w:lang w:val="ro-RO"/>
              </w:rPr>
            </w:pPr>
            <w:r>
              <w:rPr>
                <w:iCs/>
                <w:color w:val="000000" w:themeColor="text1"/>
                <w:sz w:val="22"/>
                <w:szCs w:val="22"/>
                <w:lang w:val="ro-RO"/>
                <w14:textFill>
                  <w14:solidFill>
                    <w14:schemeClr w14:val="tx1"/>
                  </w14:solidFill>
                </w14:textFill>
              </w:rPr>
              <w:t>Finalizare proces reabilitare</w:t>
            </w:r>
          </w:p>
        </w:tc>
        <w:tc>
          <w:tcPr>
            <w:tcW w:w="1350" w:type="dxa"/>
          </w:tcPr>
          <w:p w14:paraId="6437FD92">
            <w:pPr>
              <w:tabs>
                <w:tab w:val="left" w:pos="1848"/>
              </w:tabs>
              <w:spacing w:line="276" w:lineRule="auto"/>
              <w:ind w:firstLine="0"/>
              <w:jc w:val="left"/>
              <w:rPr>
                <w:rFonts w:cs="Arial"/>
                <w:sz w:val="22"/>
                <w:lang w:val="ro-RO"/>
              </w:rPr>
            </w:pPr>
            <w:r>
              <w:rPr>
                <w:rFonts w:cs="Arial"/>
                <w:color w:val="000000" w:themeColor="text1"/>
                <w:sz w:val="22"/>
                <w:lang w:val="ro-RO"/>
                <w14:textFill>
                  <w14:solidFill>
                    <w14:schemeClr w14:val="tx1"/>
                  </w14:solidFill>
                </w14:textFill>
              </w:rPr>
              <w:t>Buget de Stat(MDLPA/PNDL1)</w:t>
            </w:r>
          </w:p>
        </w:tc>
        <w:tc>
          <w:tcPr>
            <w:tcW w:w="1170" w:type="dxa"/>
          </w:tcPr>
          <w:p w14:paraId="5307A5AD">
            <w:pPr>
              <w:tabs>
                <w:tab w:val="left" w:pos="1848"/>
              </w:tabs>
              <w:spacing w:line="276" w:lineRule="auto"/>
              <w:ind w:firstLine="0"/>
              <w:jc w:val="left"/>
              <w:rPr>
                <w:rFonts w:cs="Arial"/>
                <w:sz w:val="22"/>
                <w:lang w:val="ro-RO"/>
              </w:rPr>
            </w:pPr>
            <w:r>
              <w:rPr>
                <w:rFonts w:cs="Arial"/>
                <w:color w:val="000000" w:themeColor="text1"/>
                <w:sz w:val="22"/>
                <w:lang w:val="ro-RO"/>
                <w14:textFill>
                  <w14:solidFill>
                    <w14:schemeClr w14:val="tx1"/>
                  </w14:solidFill>
                </w14:textFill>
              </w:rPr>
              <w:t>In implementare</w:t>
            </w:r>
          </w:p>
        </w:tc>
        <w:tc>
          <w:tcPr>
            <w:tcW w:w="1026" w:type="dxa"/>
          </w:tcPr>
          <w:p w14:paraId="676BBD4E">
            <w:pPr>
              <w:tabs>
                <w:tab w:val="left" w:pos="1848"/>
              </w:tabs>
              <w:spacing w:line="276" w:lineRule="auto"/>
              <w:ind w:firstLine="0"/>
              <w:rPr>
                <w:rFonts w:cs="Arial"/>
                <w:sz w:val="22"/>
                <w:lang w:val="ro-RO"/>
              </w:rPr>
            </w:pPr>
            <w:r>
              <w:rPr>
                <w:rFonts w:cs="Arial"/>
                <w:color w:val="000000" w:themeColor="text1"/>
                <w:sz w:val="22"/>
                <w:lang w:val="ro-RO"/>
                <w14:textFill>
                  <w14:solidFill>
                    <w14:schemeClr w14:val="tx1"/>
                  </w14:solidFill>
                </w14:textFill>
              </w:rPr>
              <w:t>2025</w:t>
            </w:r>
          </w:p>
        </w:tc>
        <w:tc>
          <w:tcPr>
            <w:tcW w:w="684" w:type="dxa"/>
          </w:tcPr>
          <w:p w14:paraId="2B4A42E9">
            <w:pPr>
              <w:tabs>
                <w:tab w:val="left" w:pos="1848"/>
              </w:tabs>
              <w:spacing w:line="276" w:lineRule="auto"/>
              <w:rPr>
                <w:rFonts w:cs="Arial"/>
                <w:sz w:val="22"/>
              </w:rPr>
            </w:pPr>
          </w:p>
        </w:tc>
        <w:tc>
          <w:tcPr>
            <w:tcW w:w="734" w:type="dxa"/>
          </w:tcPr>
          <w:p w14:paraId="5AF5BBDC">
            <w:pPr>
              <w:tabs>
                <w:tab w:val="left" w:pos="1848"/>
              </w:tabs>
              <w:spacing w:line="276" w:lineRule="auto"/>
              <w:rPr>
                <w:rFonts w:cs="Arial"/>
                <w:sz w:val="22"/>
                <w:lang w:val="ro-RO"/>
              </w:rPr>
            </w:pPr>
            <w:r>
              <w:rPr>
                <w:rFonts w:cs="Arial"/>
                <w:sz w:val="22"/>
                <w:lang w:val="ro-RO"/>
              </w:rPr>
              <w:t>xx</w:t>
            </w:r>
          </w:p>
        </w:tc>
      </w:tr>
      <w:tr w14:paraId="6621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92543C0">
            <w:pPr>
              <w:spacing w:line="276" w:lineRule="auto"/>
              <w:rPr>
                <w:rFonts w:cs="Arial"/>
                <w:sz w:val="22"/>
              </w:rPr>
            </w:pPr>
            <w:r>
              <w:rPr>
                <w:rFonts w:cs="Arial"/>
                <w:sz w:val="22"/>
              </w:rPr>
              <w:t>445</w:t>
            </w:r>
          </w:p>
        </w:tc>
        <w:tc>
          <w:tcPr>
            <w:tcW w:w="3330" w:type="dxa"/>
          </w:tcPr>
          <w:p w14:paraId="35A5055A">
            <w:pPr>
              <w:tabs>
                <w:tab w:val="left" w:pos="1461"/>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Construirea unui after-school</w:t>
            </w:r>
          </w:p>
        </w:tc>
        <w:tc>
          <w:tcPr>
            <w:tcW w:w="2790" w:type="dxa"/>
          </w:tcPr>
          <w:p w14:paraId="16CB170E">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publice</w:t>
            </w:r>
          </w:p>
        </w:tc>
        <w:tc>
          <w:tcPr>
            <w:tcW w:w="1350" w:type="dxa"/>
          </w:tcPr>
          <w:p w14:paraId="61F79E7B">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7387AF45">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084020E6">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1F3ABC7F">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2B5E1CAB">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547E9F5E">
            <w:pPr>
              <w:tabs>
                <w:tab w:val="left" w:pos="1848"/>
              </w:tabs>
              <w:spacing w:line="276" w:lineRule="auto"/>
              <w:rPr>
                <w:rFonts w:cs="Arial"/>
                <w:sz w:val="22"/>
              </w:rPr>
            </w:pPr>
          </w:p>
        </w:tc>
        <w:tc>
          <w:tcPr>
            <w:tcW w:w="734" w:type="dxa"/>
          </w:tcPr>
          <w:p w14:paraId="18B4AB6C">
            <w:pPr>
              <w:tabs>
                <w:tab w:val="left" w:pos="1848"/>
              </w:tabs>
              <w:spacing w:line="276" w:lineRule="auto"/>
              <w:rPr>
                <w:rFonts w:cs="Arial"/>
                <w:sz w:val="22"/>
                <w:lang w:val="ro-RO"/>
              </w:rPr>
            </w:pPr>
            <w:r>
              <w:rPr>
                <w:rFonts w:cs="Arial"/>
                <w:sz w:val="22"/>
                <w:lang w:val="ro-RO"/>
              </w:rPr>
              <w:t>xx</w:t>
            </w:r>
          </w:p>
        </w:tc>
      </w:tr>
      <w:tr w14:paraId="39AC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DAC199A">
            <w:pPr>
              <w:spacing w:line="276" w:lineRule="auto"/>
              <w:rPr>
                <w:rFonts w:cs="Arial"/>
                <w:sz w:val="22"/>
              </w:rPr>
            </w:pPr>
            <w:r>
              <w:rPr>
                <w:rFonts w:cs="Arial"/>
                <w:sz w:val="22"/>
              </w:rPr>
              <w:t>346</w:t>
            </w:r>
          </w:p>
        </w:tc>
        <w:tc>
          <w:tcPr>
            <w:tcW w:w="3330" w:type="dxa"/>
          </w:tcPr>
          <w:p w14:paraId="1E5EF394">
            <w:pPr>
              <w:tabs>
                <w:tab w:val="left" w:pos="1461"/>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Construire foisoare Comuna Simian</w:t>
            </w:r>
          </w:p>
        </w:tc>
        <w:tc>
          <w:tcPr>
            <w:tcW w:w="2790" w:type="dxa"/>
          </w:tcPr>
          <w:p w14:paraId="3BB324F2">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Finalizare construire</w:t>
            </w:r>
          </w:p>
        </w:tc>
        <w:tc>
          <w:tcPr>
            <w:tcW w:w="1350" w:type="dxa"/>
          </w:tcPr>
          <w:p w14:paraId="629D29E2">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 xml:space="preserve">Buget Local </w:t>
            </w:r>
          </w:p>
        </w:tc>
        <w:tc>
          <w:tcPr>
            <w:tcW w:w="1170" w:type="dxa"/>
          </w:tcPr>
          <w:p w14:paraId="425CB85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Pr>
          <w:p w14:paraId="7A19ABE3">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Pr>
          <w:p w14:paraId="45E41714">
            <w:pPr>
              <w:tabs>
                <w:tab w:val="left" w:pos="1848"/>
              </w:tabs>
              <w:spacing w:line="276" w:lineRule="auto"/>
              <w:rPr>
                <w:rFonts w:cs="Arial"/>
                <w:sz w:val="22"/>
              </w:rPr>
            </w:pPr>
          </w:p>
        </w:tc>
        <w:tc>
          <w:tcPr>
            <w:tcW w:w="734" w:type="dxa"/>
          </w:tcPr>
          <w:p w14:paraId="5A563E98">
            <w:pPr>
              <w:tabs>
                <w:tab w:val="left" w:pos="1848"/>
              </w:tabs>
              <w:spacing w:line="276" w:lineRule="auto"/>
              <w:rPr>
                <w:rFonts w:cs="Arial"/>
                <w:sz w:val="22"/>
                <w:lang w:val="ro-RO"/>
              </w:rPr>
            </w:pPr>
            <w:r>
              <w:rPr>
                <w:rFonts w:cs="Arial"/>
                <w:sz w:val="22"/>
                <w:lang w:val="ro-RO"/>
              </w:rPr>
              <w:t>xx</w:t>
            </w:r>
          </w:p>
        </w:tc>
      </w:tr>
      <w:tr w14:paraId="213D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1DA24DC5">
            <w:pPr>
              <w:spacing w:line="276" w:lineRule="auto"/>
              <w:ind w:firstLine="0"/>
              <w:rPr>
                <w:rFonts w:cs="Arial"/>
                <w:sz w:val="22"/>
              </w:rPr>
            </w:pPr>
            <w:r>
              <w:rPr>
                <w:rFonts w:cs="Arial"/>
                <w:sz w:val="22"/>
              </w:rPr>
              <w:t>47</w:t>
            </w:r>
          </w:p>
        </w:tc>
        <w:tc>
          <w:tcPr>
            <w:tcW w:w="3330" w:type="dxa"/>
          </w:tcPr>
          <w:p w14:paraId="768E3483">
            <w:pPr>
              <w:tabs>
                <w:tab w:val="left" w:pos="1461"/>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Amenajare loc de joaca  parc  sat Cerneti,com Simian</w:t>
            </w:r>
          </w:p>
        </w:tc>
        <w:tc>
          <w:tcPr>
            <w:tcW w:w="2790" w:type="dxa"/>
          </w:tcPr>
          <w:p w14:paraId="48817D66">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Finalizare proces amenajare</w:t>
            </w:r>
          </w:p>
        </w:tc>
        <w:tc>
          <w:tcPr>
            <w:tcW w:w="1350" w:type="dxa"/>
          </w:tcPr>
          <w:p w14:paraId="2AB49CFB">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Pr>
          <w:p w14:paraId="6DF70460">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Pr>
          <w:p w14:paraId="386FC3BF">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Pr>
          <w:p w14:paraId="32B54D61">
            <w:pPr>
              <w:tabs>
                <w:tab w:val="left" w:pos="1848"/>
              </w:tabs>
              <w:spacing w:line="276" w:lineRule="auto"/>
              <w:rPr>
                <w:rFonts w:cs="Arial"/>
                <w:sz w:val="22"/>
              </w:rPr>
            </w:pPr>
          </w:p>
        </w:tc>
        <w:tc>
          <w:tcPr>
            <w:tcW w:w="734" w:type="dxa"/>
          </w:tcPr>
          <w:p w14:paraId="706657A7">
            <w:pPr>
              <w:tabs>
                <w:tab w:val="left" w:pos="1848"/>
              </w:tabs>
              <w:spacing w:line="276" w:lineRule="auto"/>
              <w:rPr>
                <w:rFonts w:cs="Arial"/>
                <w:sz w:val="22"/>
                <w:lang w:val="ro-RO"/>
              </w:rPr>
            </w:pPr>
            <w:r>
              <w:rPr>
                <w:rFonts w:cs="Arial"/>
                <w:sz w:val="22"/>
                <w:lang w:val="ro-RO"/>
              </w:rPr>
              <w:t>xx</w:t>
            </w:r>
          </w:p>
        </w:tc>
      </w:tr>
      <w:tr w14:paraId="276D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4DF351A">
            <w:pPr>
              <w:spacing w:line="276" w:lineRule="auto"/>
              <w:rPr>
                <w:rFonts w:cs="Arial"/>
                <w:sz w:val="22"/>
              </w:rPr>
            </w:pPr>
            <w:r>
              <w:rPr>
                <w:rFonts w:cs="Arial"/>
                <w:sz w:val="22"/>
              </w:rPr>
              <w:t>348</w:t>
            </w:r>
          </w:p>
        </w:tc>
        <w:tc>
          <w:tcPr>
            <w:tcW w:w="3330" w:type="dxa"/>
          </w:tcPr>
          <w:p w14:paraId="12050BE7">
            <w:pPr>
              <w:tabs>
                <w:tab w:val="left" w:pos="1461"/>
              </w:tabs>
              <w:spacing w:line="276" w:lineRule="auto"/>
              <w:ind w:firstLine="0"/>
              <w:jc w:val="left"/>
              <w:rPr>
                <w:rFonts w:cs="Arial"/>
                <w:iCs/>
                <w:color w:val="000000" w:themeColor="text1"/>
                <w:sz w:val="22"/>
                <w:lang w:val="ro-RO"/>
                <w14:textFill>
                  <w14:solidFill>
                    <w14:schemeClr w14:val="tx1"/>
                  </w14:solidFill>
                </w14:textFill>
              </w:rPr>
            </w:pPr>
            <w:r>
              <w:rPr>
                <w:rFonts w:cs="Arial"/>
                <w:iCs/>
                <w:color w:val="000000" w:themeColor="text1"/>
                <w:sz w:val="22"/>
                <w:lang w:val="ro-RO"/>
                <w14:textFill>
                  <w14:solidFill>
                    <w14:schemeClr w14:val="tx1"/>
                  </w14:solidFill>
                </w14:textFill>
              </w:rPr>
              <w:t>Amenajare parcuri in satele Simian,Cerneti,Dudașu, Poroina si Erghevita</w:t>
            </w:r>
          </w:p>
        </w:tc>
        <w:tc>
          <w:tcPr>
            <w:tcW w:w="2790" w:type="dxa"/>
          </w:tcPr>
          <w:p w14:paraId="66A64E25">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Finalizare proces amenajare</w:t>
            </w:r>
          </w:p>
        </w:tc>
        <w:tc>
          <w:tcPr>
            <w:tcW w:w="1350" w:type="dxa"/>
          </w:tcPr>
          <w:p w14:paraId="1510C83F">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Buget local</w:t>
            </w:r>
          </w:p>
        </w:tc>
        <w:tc>
          <w:tcPr>
            <w:tcW w:w="1170" w:type="dxa"/>
          </w:tcPr>
          <w:p w14:paraId="3FDED474">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In implementare</w:t>
            </w:r>
          </w:p>
        </w:tc>
        <w:tc>
          <w:tcPr>
            <w:tcW w:w="1026" w:type="dxa"/>
          </w:tcPr>
          <w:p w14:paraId="62894F7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2025</w:t>
            </w:r>
          </w:p>
        </w:tc>
        <w:tc>
          <w:tcPr>
            <w:tcW w:w="684" w:type="dxa"/>
          </w:tcPr>
          <w:p w14:paraId="48BB5716">
            <w:pPr>
              <w:tabs>
                <w:tab w:val="left" w:pos="1848"/>
              </w:tabs>
              <w:spacing w:line="276" w:lineRule="auto"/>
              <w:rPr>
                <w:rFonts w:cs="Arial"/>
                <w:sz w:val="22"/>
              </w:rPr>
            </w:pPr>
          </w:p>
        </w:tc>
        <w:tc>
          <w:tcPr>
            <w:tcW w:w="734" w:type="dxa"/>
          </w:tcPr>
          <w:p w14:paraId="5608B750">
            <w:pPr>
              <w:tabs>
                <w:tab w:val="left" w:pos="1848"/>
              </w:tabs>
              <w:spacing w:line="276" w:lineRule="auto"/>
              <w:rPr>
                <w:rFonts w:cs="Arial"/>
                <w:sz w:val="22"/>
                <w:lang w:val="ro-RO"/>
              </w:rPr>
            </w:pPr>
            <w:r>
              <w:rPr>
                <w:rFonts w:cs="Arial"/>
                <w:sz w:val="22"/>
                <w:lang w:val="ro-RO"/>
              </w:rPr>
              <w:t>xx</w:t>
            </w:r>
          </w:p>
        </w:tc>
      </w:tr>
      <w:tr w14:paraId="7204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31684E92">
            <w:pPr>
              <w:spacing w:line="276" w:lineRule="auto"/>
              <w:rPr>
                <w:rFonts w:cs="Arial"/>
                <w:sz w:val="22"/>
              </w:rPr>
            </w:pPr>
            <w:r>
              <w:rPr>
                <w:rFonts w:cs="Arial"/>
                <w:sz w:val="22"/>
              </w:rPr>
              <w:t>449</w:t>
            </w:r>
          </w:p>
        </w:tc>
        <w:tc>
          <w:tcPr>
            <w:tcW w:w="3330" w:type="dxa"/>
          </w:tcPr>
          <w:p w14:paraId="099AF588">
            <w:pPr>
              <w:spacing w:before="60"/>
              <w:ind w:firstLine="0"/>
              <w:rPr>
                <w:rFonts w:cs="Arial"/>
                <w:sz w:val="22"/>
              </w:rPr>
            </w:pPr>
            <w:r>
              <w:rPr>
                <w:rFonts w:cs="Arial"/>
                <w:sz w:val="22"/>
              </w:rPr>
              <w:t>Construirea de locuinţe cu destinaţie socială</w:t>
            </w:r>
          </w:p>
        </w:tc>
        <w:tc>
          <w:tcPr>
            <w:tcW w:w="2790" w:type="dxa"/>
          </w:tcPr>
          <w:p w14:paraId="18CA289E">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calității vieții</w:t>
            </w:r>
          </w:p>
        </w:tc>
        <w:tc>
          <w:tcPr>
            <w:tcW w:w="1350" w:type="dxa"/>
          </w:tcPr>
          <w:p w14:paraId="6DCB61EA">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2E783B6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1E84F072">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6D08FDFC">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0D048BB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02706C75">
            <w:pPr>
              <w:tabs>
                <w:tab w:val="left" w:pos="1848"/>
              </w:tabs>
              <w:spacing w:line="276" w:lineRule="auto"/>
              <w:rPr>
                <w:rFonts w:cs="Arial"/>
                <w:sz w:val="22"/>
              </w:rPr>
            </w:pPr>
          </w:p>
        </w:tc>
        <w:tc>
          <w:tcPr>
            <w:tcW w:w="734" w:type="dxa"/>
          </w:tcPr>
          <w:p w14:paraId="2DFD85D8">
            <w:pPr>
              <w:tabs>
                <w:tab w:val="left" w:pos="1848"/>
              </w:tabs>
              <w:spacing w:line="276" w:lineRule="auto"/>
              <w:rPr>
                <w:rFonts w:cs="Arial"/>
                <w:sz w:val="22"/>
                <w:lang w:val="ro-RO"/>
              </w:rPr>
            </w:pPr>
            <w:r>
              <w:rPr>
                <w:rFonts w:cs="Arial"/>
                <w:sz w:val="22"/>
                <w:lang w:val="ro-RO"/>
              </w:rPr>
              <w:t>xx</w:t>
            </w:r>
          </w:p>
        </w:tc>
      </w:tr>
      <w:tr w14:paraId="07A6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3E1D5181">
            <w:pPr>
              <w:spacing w:line="276" w:lineRule="auto"/>
              <w:rPr>
                <w:rFonts w:cs="Arial"/>
                <w:sz w:val="22"/>
              </w:rPr>
            </w:pPr>
            <w:r>
              <w:rPr>
                <w:rFonts w:cs="Arial"/>
                <w:sz w:val="22"/>
              </w:rPr>
              <w:t>450</w:t>
            </w:r>
          </w:p>
        </w:tc>
        <w:tc>
          <w:tcPr>
            <w:tcW w:w="3330" w:type="dxa"/>
          </w:tcPr>
          <w:p w14:paraId="1B12B569">
            <w:pPr>
              <w:spacing w:before="60"/>
              <w:ind w:firstLine="0"/>
              <w:rPr>
                <w:rFonts w:cs="Arial"/>
                <w:sz w:val="22"/>
              </w:rPr>
            </w:pPr>
            <w:r>
              <w:rPr>
                <w:rFonts w:cs="Arial"/>
                <w:sz w:val="22"/>
              </w:rPr>
              <w:t>Unități mobile “Servicii la tine acasă”:</w:t>
            </w:r>
          </w:p>
          <w:p w14:paraId="37C62FCC">
            <w:pPr>
              <w:spacing w:before="60"/>
              <w:ind w:firstLine="0"/>
              <w:rPr>
                <w:rFonts w:eastAsia="SimSun" w:cs="Arial"/>
                <w:sz w:val="22"/>
                <w:lang w:val="lt-LT"/>
              </w:rPr>
            </w:pPr>
            <w:r>
              <w:rPr>
                <w:rFonts w:eastAsia="SimSun" w:cs="Arial"/>
                <w:sz w:val="22"/>
                <w:lang w:val="lt-LT"/>
              </w:rPr>
              <w:t>2 vehicule echipate cu farmacie, cabinet veterinar și atelier tehnic;</w:t>
            </w:r>
          </w:p>
          <w:p w14:paraId="492476DB">
            <w:pPr>
              <w:spacing w:before="60"/>
              <w:ind w:firstLine="0"/>
              <w:rPr>
                <w:rFonts w:eastAsia="SimSun" w:cs="Arial"/>
                <w:sz w:val="22"/>
                <w:lang w:val="lt-LT"/>
              </w:rPr>
            </w:pPr>
            <w:r>
              <w:rPr>
                <w:rFonts w:eastAsia="SimSun" w:cs="Arial"/>
                <w:sz w:val="22"/>
                <w:lang w:val="lt-LT"/>
              </w:rPr>
              <w:t>Program circulant stabilit prin aplicația comunei;</w:t>
            </w:r>
          </w:p>
          <w:p w14:paraId="16F08FEB">
            <w:pPr>
              <w:spacing w:before="60"/>
              <w:ind w:firstLine="0"/>
              <w:rPr>
                <w:rFonts w:eastAsia="SimSun" w:cs="Arial"/>
                <w:sz w:val="22"/>
                <w:lang w:val="lt-LT"/>
              </w:rPr>
            </w:pPr>
            <w:r>
              <w:rPr>
                <w:rFonts w:eastAsia="SimSun" w:cs="Arial"/>
                <w:sz w:val="22"/>
                <w:lang w:val="lt-LT"/>
              </w:rPr>
              <w:t>Parteneriat cu Colegiul Agricol Drobeta pentru stagii practice;</w:t>
            </w:r>
          </w:p>
          <w:p w14:paraId="05CCAA3E">
            <w:pPr>
              <w:tabs>
                <w:tab w:val="left" w:pos="1461"/>
              </w:tabs>
              <w:spacing w:line="276" w:lineRule="auto"/>
              <w:ind w:firstLine="0"/>
              <w:jc w:val="left"/>
              <w:rPr>
                <w:rFonts w:cs="Arial"/>
                <w:iCs/>
                <w:color w:val="000000" w:themeColor="text1"/>
                <w:sz w:val="22"/>
                <w:lang w:val="ro-RO"/>
                <w14:textFill>
                  <w14:solidFill>
                    <w14:schemeClr w14:val="tx1"/>
                  </w14:solidFill>
                </w14:textFill>
              </w:rPr>
            </w:pPr>
          </w:p>
        </w:tc>
        <w:tc>
          <w:tcPr>
            <w:tcW w:w="2790" w:type="dxa"/>
          </w:tcPr>
          <w:p w14:paraId="17ABC0FA">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pentru locuitorii comunei Șimian</w:t>
            </w:r>
          </w:p>
        </w:tc>
        <w:tc>
          <w:tcPr>
            <w:tcW w:w="1350" w:type="dxa"/>
          </w:tcPr>
          <w:p w14:paraId="3316EFF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eastAsia="SimSun" w:cs="Arial"/>
                <w:sz w:val="22"/>
                <w:lang w:val="lt-LT"/>
              </w:rPr>
              <w:t>POCU (FSE+) și Fondul pentru Dezvoltare Regională.</w:t>
            </w:r>
          </w:p>
        </w:tc>
        <w:tc>
          <w:tcPr>
            <w:tcW w:w="1170" w:type="dxa"/>
          </w:tcPr>
          <w:p w14:paraId="1201AD75">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65680E3C">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63F6FE7E">
            <w:pPr>
              <w:tabs>
                <w:tab w:val="left" w:pos="1848"/>
              </w:tabs>
              <w:spacing w:line="276" w:lineRule="auto"/>
              <w:rPr>
                <w:rFonts w:cs="Arial"/>
                <w:sz w:val="22"/>
              </w:rPr>
            </w:pPr>
          </w:p>
        </w:tc>
        <w:tc>
          <w:tcPr>
            <w:tcW w:w="734" w:type="dxa"/>
          </w:tcPr>
          <w:p w14:paraId="158E1ACB">
            <w:pPr>
              <w:tabs>
                <w:tab w:val="left" w:pos="1848"/>
              </w:tabs>
              <w:spacing w:line="276" w:lineRule="auto"/>
              <w:rPr>
                <w:rFonts w:cs="Arial"/>
                <w:sz w:val="22"/>
                <w:lang w:val="ro-RO"/>
              </w:rPr>
            </w:pPr>
            <w:r>
              <w:rPr>
                <w:rFonts w:cs="Arial"/>
                <w:sz w:val="22"/>
                <w:lang w:val="ro-RO"/>
              </w:rPr>
              <w:t>xx</w:t>
            </w:r>
          </w:p>
        </w:tc>
      </w:tr>
      <w:tr w14:paraId="68F7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9CAFA43">
            <w:pPr>
              <w:spacing w:line="276" w:lineRule="auto"/>
              <w:rPr>
                <w:rFonts w:cs="Arial"/>
                <w:sz w:val="22"/>
              </w:rPr>
            </w:pPr>
            <w:r>
              <w:rPr>
                <w:rFonts w:cs="Arial"/>
                <w:sz w:val="22"/>
              </w:rPr>
              <w:t>451</w:t>
            </w:r>
          </w:p>
        </w:tc>
        <w:tc>
          <w:tcPr>
            <w:tcW w:w="3330" w:type="dxa"/>
          </w:tcPr>
          <w:p w14:paraId="745482A6">
            <w:pPr>
              <w:spacing w:before="60"/>
              <w:ind w:firstLine="0"/>
              <w:rPr>
                <w:rFonts w:cs="Arial"/>
                <w:sz w:val="22"/>
                <w:lang w:val="ro-RO"/>
              </w:rPr>
            </w:pPr>
            <w:r>
              <w:rPr>
                <w:rFonts w:cs="Arial"/>
                <w:sz w:val="22"/>
                <w:lang w:val="ro-RO"/>
              </w:rPr>
              <w:t>Programul “Educație pentru Șimian”:</w:t>
            </w:r>
          </w:p>
          <w:p w14:paraId="69251AF4">
            <w:pPr>
              <w:spacing w:before="60"/>
              <w:ind w:firstLine="0"/>
              <w:rPr>
                <w:rFonts w:eastAsia="SimSun" w:cs="Arial"/>
                <w:sz w:val="22"/>
                <w:lang w:val="ro-RO"/>
              </w:rPr>
            </w:pPr>
            <w:r>
              <w:rPr>
                <w:rFonts w:eastAsia="SimSun" w:cs="Arial"/>
                <w:sz w:val="22"/>
                <w:lang w:val="ro-RO"/>
              </w:rPr>
              <w:t>Formarea continuă a profesorilor în metode interactive (învățare bazată pe proiecte, flipped classroom) și utilizarea TIC.</w:t>
            </w:r>
          </w:p>
          <w:p w14:paraId="4F87FE32">
            <w:pPr>
              <w:spacing w:before="60"/>
              <w:ind w:firstLine="0"/>
              <w:rPr>
                <w:rFonts w:eastAsia="SimSun" w:cs="Arial"/>
                <w:sz w:val="22"/>
                <w:lang w:val="ro-RO"/>
              </w:rPr>
            </w:pPr>
            <w:r>
              <w:rPr>
                <w:rFonts w:eastAsia="SimSun" w:cs="Arial"/>
                <w:sz w:val="22"/>
                <w:lang w:val="ro-RO"/>
              </w:rPr>
              <w:t>Dotarea sălilor de clasă cu tablete, proiectoare interactive și platforme digitale educaționale</w:t>
            </w:r>
            <w:r>
              <w:rPr>
                <w:rFonts w:cs="Arial"/>
                <w:sz w:val="22"/>
                <w:lang w:val="ro-RO"/>
              </w:rPr>
              <w:t>.</w:t>
            </w:r>
          </w:p>
          <w:p w14:paraId="2F2FB229">
            <w:pPr>
              <w:spacing w:before="60"/>
              <w:ind w:firstLine="0"/>
              <w:rPr>
                <w:rFonts w:eastAsia="SimSun" w:cs="Arial"/>
                <w:sz w:val="22"/>
                <w:lang w:val="ro-RO"/>
              </w:rPr>
            </w:pPr>
            <w:r>
              <w:rPr>
                <w:rFonts w:eastAsia="SimSun" w:cs="Arial"/>
                <w:sz w:val="22"/>
                <w:lang w:val="ro-RO"/>
              </w:rPr>
              <w:t>Ateliere practice STEM în parteneriat cu Liceul “Șerban Cioculescu”: robotică, programare, agro-tehnologii.</w:t>
            </w:r>
          </w:p>
          <w:p w14:paraId="53D29B3F">
            <w:pPr>
              <w:spacing w:before="60"/>
              <w:ind w:firstLine="0"/>
              <w:rPr>
                <w:rFonts w:eastAsia="SimSun" w:cs="Arial"/>
                <w:sz w:val="22"/>
                <w:lang w:val="ro-RO"/>
              </w:rPr>
            </w:pPr>
            <w:r>
              <w:rPr>
                <w:rFonts w:eastAsia="SimSun" w:cs="Arial"/>
                <w:sz w:val="22"/>
                <w:lang w:val="ro-RO"/>
              </w:rPr>
              <w:t>Monitorizare personalizată a elevilor cu risc de abandon prin platformă digitală și echipă psihopedagogică.</w:t>
            </w:r>
          </w:p>
          <w:p w14:paraId="0AEFC77E">
            <w:pPr>
              <w:spacing w:before="60"/>
              <w:ind w:firstLine="0"/>
              <w:rPr>
                <w:rFonts w:cs="Arial"/>
                <w:sz w:val="22"/>
              </w:rPr>
            </w:pPr>
          </w:p>
        </w:tc>
        <w:tc>
          <w:tcPr>
            <w:tcW w:w="2790" w:type="dxa"/>
          </w:tcPr>
          <w:p w14:paraId="2BC4D683">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pentru locuitorii comunei Șimian</w:t>
            </w:r>
          </w:p>
        </w:tc>
        <w:tc>
          <w:tcPr>
            <w:tcW w:w="1350" w:type="dxa"/>
          </w:tcPr>
          <w:p w14:paraId="396619BC">
            <w:pPr>
              <w:tabs>
                <w:tab w:val="left" w:pos="1848"/>
              </w:tabs>
              <w:spacing w:line="276" w:lineRule="auto"/>
              <w:ind w:firstLine="0"/>
              <w:jc w:val="left"/>
              <w:rPr>
                <w:rFonts w:eastAsia="SimSun" w:cs="Arial"/>
                <w:sz w:val="22"/>
                <w:lang w:val="lt-LT"/>
              </w:rPr>
            </w:pPr>
            <w:r>
              <w:rPr>
                <w:rFonts w:eastAsia="SimSun" w:cs="Arial"/>
                <w:sz w:val="22"/>
                <w:lang w:val="ro-RO"/>
              </w:rPr>
              <w:t>POCU (FSE+) și PNRR (Componenta Educați</w:t>
            </w:r>
          </w:p>
        </w:tc>
        <w:tc>
          <w:tcPr>
            <w:tcW w:w="1170" w:type="dxa"/>
          </w:tcPr>
          <w:p w14:paraId="1CF6195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2836E27E">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5C9BC4FA">
            <w:pPr>
              <w:tabs>
                <w:tab w:val="left" w:pos="1848"/>
              </w:tabs>
              <w:spacing w:line="276" w:lineRule="auto"/>
              <w:rPr>
                <w:rFonts w:cs="Arial"/>
                <w:sz w:val="22"/>
              </w:rPr>
            </w:pPr>
          </w:p>
        </w:tc>
        <w:tc>
          <w:tcPr>
            <w:tcW w:w="734" w:type="dxa"/>
          </w:tcPr>
          <w:p w14:paraId="5EE0966A">
            <w:pPr>
              <w:tabs>
                <w:tab w:val="left" w:pos="1848"/>
              </w:tabs>
              <w:spacing w:line="276" w:lineRule="auto"/>
              <w:rPr>
                <w:rFonts w:cs="Arial"/>
                <w:sz w:val="22"/>
                <w:lang w:val="ro-RO"/>
              </w:rPr>
            </w:pPr>
            <w:r>
              <w:rPr>
                <w:rFonts w:cs="Arial"/>
                <w:sz w:val="22"/>
                <w:lang w:val="ro-RO"/>
              </w:rPr>
              <w:t>xx</w:t>
            </w:r>
          </w:p>
        </w:tc>
      </w:tr>
      <w:tr w14:paraId="00AA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E14B85E">
            <w:pPr>
              <w:spacing w:line="276" w:lineRule="auto"/>
              <w:rPr>
                <w:rFonts w:cs="Arial"/>
                <w:sz w:val="22"/>
              </w:rPr>
            </w:pPr>
            <w:r>
              <w:rPr>
                <w:rFonts w:cs="Arial"/>
                <w:sz w:val="22"/>
              </w:rPr>
              <w:t>452</w:t>
            </w:r>
          </w:p>
        </w:tc>
        <w:tc>
          <w:tcPr>
            <w:tcW w:w="3330" w:type="dxa"/>
          </w:tcPr>
          <w:p w14:paraId="32881136">
            <w:pPr>
              <w:spacing w:before="60"/>
              <w:ind w:firstLine="0"/>
              <w:rPr>
                <w:rFonts w:cs="Arial"/>
                <w:sz w:val="22"/>
                <w:lang w:val="ro-RO"/>
              </w:rPr>
            </w:pPr>
            <w:r>
              <w:rPr>
                <w:rFonts w:cs="Arial"/>
                <w:sz w:val="22"/>
                <w:lang w:val="ro-RO"/>
              </w:rPr>
              <w:t>Înființarea unui Centrul de Artă Tradițională:</w:t>
            </w:r>
          </w:p>
          <w:p w14:paraId="29090608">
            <w:pPr>
              <w:spacing w:before="60"/>
              <w:ind w:firstLine="0"/>
              <w:rPr>
                <w:rFonts w:eastAsia="SimSun" w:cs="Arial"/>
                <w:sz w:val="22"/>
                <w:lang w:val="ro-RO"/>
              </w:rPr>
            </w:pPr>
            <w:r>
              <w:rPr>
                <w:rFonts w:eastAsia="SimSun" w:cs="Arial"/>
                <w:sz w:val="22"/>
                <w:lang w:val="ro-RO"/>
              </w:rPr>
              <w:t xml:space="preserve">Ateliere permanente de </w:t>
            </w:r>
            <w:r>
              <w:rPr>
                <w:rFonts w:cs="Arial"/>
                <w:sz w:val="22"/>
                <w:lang w:val="ro-RO"/>
              </w:rPr>
              <w:t>artă și meșteșuguri tradiționale, din zonă,</w:t>
            </w:r>
            <w:r>
              <w:rPr>
                <w:rFonts w:eastAsia="SimSun" w:cs="Arial"/>
                <w:sz w:val="22"/>
                <w:lang w:val="ro-RO"/>
              </w:rPr>
              <w:t xml:space="preserve"> pentru tineri și adulți.</w:t>
            </w:r>
          </w:p>
          <w:p w14:paraId="5A3935D6">
            <w:pPr>
              <w:spacing w:before="60"/>
              <w:ind w:firstLine="0"/>
              <w:rPr>
                <w:rFonts w:cs="Arial"/>
                <w:sz w:val="22"/>
                <w:lang w:val="ro-RO"/>
              </w:rPr>
            </w:pPr>
            <w:r>
              <w:rPr>
                <w:rFonts w:eastAsia="SimSun" w:cs="Arial"/>
                <w:sz w:val="22"/>
                <w:lang w:val="ro-RO"/>
              </w:rPr>
              <w:t>Digitalizarea meșteșugurilor prin platformă interactivă cu tutoriale și expoziții virtuale.</w:t>
            </w:r>
          </w:p>
          <w:p w14:paraId="0BF1C54C">
            <w:pPr>
              <w:spacing w:before="60"/>
              <w:ind w:firstLine="0"/>
              <w:rPr>
                <w:rFonts w:cs="Arial"/>
                <w:sz w:val="22"/>
                <w:lang w:val="ro-RO"/>
              </w:rPr>
            </w:pPr>
          </w:p>
        </w:tc>
        <w:tc>
          <w:tcPr>
            <w:tcW w:w="2790" w:type="dxa"/>
          </w:tcPr>
          <w:p w14:paraId="552AA23D">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pentru locuitorii comunei Șimian</w:t>
            </w:r>
          </w:p>
        </w:tc>
        <w:tc>
          <w:tcPr>
            <w:tcW w:w="1350" w:type="dxa"/>
          </w:tcPr>
          <w:p w14:paraId="5F9EEFC0">
            <w:pPr>
              <w:tabs>
                <w:tab w:val="left" w:pos="1848"/>
              </w:tabs>
              <w:spacing w:line="276" w:lineRule="auto"/>
              <w:ind w:firstLine="0"/>
              <w:jc w:val="left"/>
              <w:rPr>
                <w:rFonts w:eastAsia="SimSun" w:cs="Arial"/>
                <w:sz w:val="22"/>
                <w:lang w:val="ro-RO"/>
              </w:rPr>
            </w:pPr>
            <w:r>
              <w:rPr>
                <w:rFonts w:eastAsia="SimSun" w:cs="Arial"/>
                <w:sz w:val="22"/>
                <w:lang w:val="ro-RO"/>
              </w:rPr>
              <w:t xml:space="preserve">FEADR (M19 - LEADER) și POCA 2021-2027 </w:t>
            </w:r>
          </w:p>
        </w:tc>
        <w:tc>
          <w:tcPr>
            <w:tcW w:w="1170" w:type="dxa"/>
          </w:tcPr>
          <w:p w14:paraId="6F6080AC">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6435443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6A86C3E0">
            <w:pPr>
              <w:tabs>
                <w:tab w:val="left" w:pos="1848"/>
              </w:tabs>
              <w:spacing w:line="276" w:lineRule="auto"/>
              <w:rPr>
                <w:rFonts w:cs="Arial"/>
                <w:sz w:val="22"/>
              </w:rPr>
            </w:pPr>
          </w:p>
        </w:tc>
        <w:tc>
          <w:tcPr>
            <w:tcW w:w="734" w:type="dxa"/>
          </w:tcPr>
          <w:p w14:paraId="4F1556AB">
            <w:pPr>
              <w:tabs>
                <w:tab w:val="left" w:pos="1848"/>
              </w:tabs>
              <w:spacing w:line="276" w:lineRule="auto"/>
              <w:rPr>
                <w:rFonts w:cs="Arial"/>
                <w:sz w:val="22"/>
                <w:lang w:val="ro-RO"/>
              </w:rPr>
            </w:pPr>
            <w:r>
              <w:rPr>
                <w:rFonts w:cs="Arial"/>
                <w:sz w:val="22"/>
                <w:lang w:val="ro-RO"/>
              </w:rPr>
              <w:t>xx</w:t>
            </w:r>
          </w:p>
        </w:tc>
      </w:tr>
      <w:tr w14:paraId="445D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7E25B3FA">
            <w:pPr>
              <w:spacing w:line="276" w:lineRule="auto"/>
              <w:rPr>
                <w:rFonts w:cs="Arial"/>
                <w:sz w:val="22"/>
              </w:rPr>
            </w:pPr>
            <w:r>
              <w:rPr>
                <w:rFonts w:cs="Arial"/>
                <w:sz w:val="22"/>
              </w:rPr>
              <w:t>553</w:t>
            </w:r>
          </w:p>
        </w:tc>
        <w:tc>
          <w:tcPr>
            <w:tcW w:w="3330" w:type="dxa"/>
          </w:tcPr>
          <w:p w14:paraId="434808CE">
            <w:pPr>
              <w:spacing w:before="60"/>
              <w:ind w:firstLine="0"/>
              <w:rPr>
                <w:rFonts w:cs="Arial"/>
                <w:sz w:val="22"/>
                <w:lang w:val="ro-RO"/>
              </w:rPr>
            </w:pPr>
            <w:r>
              <w:rPr>
                <w:rFonts w:cs="Arial"/>
                <w:sz w:val="22"/>
                <w:lang w:val="ro-RO"/>
              </w:rPr>
              <w:t>Caravana Culturală Mobilă:</w:t>
            </w:r>
          </w:p>
          <w:p w14:paraId="3D869EF4">
            <w:pPr>
              <w:spacing w:before="60"/>
              <w:ind w:firstLine="0"/>
              <w:rPr>
                <w:rFonts w:eastAsia="SimSun" w:cs="Arial"/>
                <w:sz w:val="22"/>
                <w:lang w:val="ro-RO"/>
              </w:rPr>
            </w:pPr>
            <w:r>
              <w:rPr>
                <w:rFonts w:eastAsia="SimSun" w:cs="Arial"/>
                <w:sz w:val="22"/>
                <w:lang w:val="ro-RO"/>
              </w:rPr>
              <w:t>Unitate echipată cu scenă, expoziții și echipamente audio-vizuale ce vizitează satele săptămânal.</w:t>
            </w:r>
          </w:p>
          <w:p w14:paraId="708CC17E">
            <w:pPr>
              <w:spacing w:before="60"/>
              <w:ind w:firstLine="0"/>
              <w:rPr>
                <w:rFonts w:eastAsia="SimSun" w:cs="Arial"/>
                <w:sz w:val="22"/>
                <w:lang w:val="ro-RO"/>
              </w:rPr>
            </w:pPr>
            <w:r>
              <w:rPr>
                <w:rFonts w:eastAsia="SimSun" w:cs="Arial"/>
                <w:sz w:val="22"/>
                <w:lang w:val="ro-RO"/>
              </w:rPr>
              <w:t>Parteneriate cu artiști locali pentru spectacole de teatru, folclor și proiecții de film.</w:t>
            </w:r>
          </w:p>
          <w:p w14:paraId="07767795">
            <w:pPr>
              <w:spacing w:before="60"/>
              <w:ind w:firstLine="0"/>
              <w:rPr>
                <w:rFonts w:cs="Arial"/>
                <w:sz w:val="22"/>
                <w:lang w:val="ro-RO"/>
              </w:rPr>
            </w:pPr>
          </w:p>
        </w:tc>
        <w:tc>
          <w:tcPr>
            <w:tcW w:w="2790" w:type="dxa"/>
          </w:tcPr>
          <w:p w14:paraId="66D6490C">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Creșterea accesului la servicii culturalepentru locuitorii comunei Șimian</w:t>
            </w:r>
          </w:p>
        </w:tc>
        <w:tc>
          <w:tcPr>
            <w:tcW w:w="1350" w:type="dxa"/>
          </w:tcPr>
          <w:p w14:paraId="45BD3ADC">
            <w:pPr>
              <w:tabs>
                <w:tab w:val="left" w:pos="1848"/>
              </w:tabs>
              <w:spacing w:line="276" w:lineRule="auto"/>
              <w:ind w:firstLine="0"/>
              <w:jc w:val="left"/>
              <w:rPr>
                <w:rFonts w:eastAsia="SimSun" w:cs="Arial"/>
                <w:sz w:val="22"/>
                <w:lang w:val="ro-RO"/>
              </w:rPr>
            </w:pPr>
            <w:r>
              <w:rPr>
                <w:rFonts w:eastAsia="SimSun" w:cs="Arial"/>
                <w:sz w:val="22"/>
                <w:lang w:val="ro-RO"/>
              </w:rPr>
              <w:t>Fondul Cultural Național și Programul “Dezvoltare Locală”</w:t>
            </w:r>
          </w:p>
        </w:tc>
        <w:tc>
          <w:tcPr>
            <w:tcW w:w="1170" w:type="dxa"/>
          </w:tcPr>
          <w:p w14:paraId="0787DA2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01C99212">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2CF565FA">
            <w:pPr>
              <w:tabs>
                <w:tab w:val="left" w:pos="1848"/>
              </w:tabs>
              <w:spacing w:line="276" w:lineRule="auto"/>
              <w:rPr>
                <w:rFonts w:cs="Arial"/>
                <w:sz w:val="22"/>
              </w:rPr>
            </w:pPr>
          </w:p>
        </w:tc>
        <w:tc>
          <w:tcPr>
            <w:tcW w:w="734" w:type="dxa"/>
          </w:tcPr>
          <w:p w14:paraId="5D55EC75">
            <w:pPr>
              <w:tabs>
                <w:tab w:val="left" w:pos="1848"/>
              </w:tabs>
              <w:spacing w:line="276" w:lineRule="auto"/>
              <w:rPr>
                <w:rFonts w:cs="Arial"/>
                <w:sz w:val="22"/>
                <w:lang w:val="ro-RO"/>
              </w:rPr>
            </w:pPr>
            <w:r>
              <w:rPr>
                <w:rFonts w:cs="Arial"/>
                <w:sz w:val="22"/>
                <w:lang w:val="ro-RO"/>
              </w:rPr>
              <w:t>xx</w:t>
            </w:r>
          </w:p>
        </w:tc>
      </w:tr>
      <w:tr w14:paraId="1B36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07695D6">
            <w:pPr>
              <w:spacing w:line="276" w:lineRule="auto"/>
              <w:rPr>
                <w:rFonts w:cs="Arial"/>
                <w:sz w:val="22"/>
              </w:rPr>
            </w:pPr>
            <w:r>
              <w:rPr>
                <w:rFonts w:cs="Arial"/>
                <w:sz w:val="22"/>
              </w:rPr>
              <w:t>454</w:t>
            </w:r>
          </w:p>
        </w:tc>
        <w:tc>
          <w:tcPr>
            <w:tcW w:w="3330" w:type="dxa"/>
          </w:tcPr>
          <w:p w14:paraId="7CB7ED99">
            <w:pPr>
              <w:ind w:firstLine="0"/>
              <w:rPr>
                <w:rFonts w:cs="Arial"/>
                <w:sz w:val="22"/>
                <w:lang w:val="ro-RO"/>
              </w:rPr>
            </w:pPr>
            <w:r>
              <w:rPr>
                <w:rFonts w:cs="Arial"/>
                <w:sz w:val="22"/>
                <w:lang w:val="ro-RO"/>
              </w:rPr>
              <w:t>Strategia “Șimian Experience”:</w:t>
            </w:r>
          </w:p>
          <w:p w14:paraId="372301D7">
            <w:pPr>
              <w:spacing w:before="60"/>
              <w:ind w:firstLine="0"/>
              <w:rPr>
                <w:rFonts w:eastAsia="SimSun" w:cs="Arial"/>
                <w:sz w:val="22"/>
                <w:lang w:val="ro-RO"/>
              </w:rPr>
            </w:pPr>
            <w:r>
              <w:rPr>
                <w:rFonts w:cs="Arial"/>
                <w:sz w:val="22"/>
                <w:lang w:val="ro-RO"/>
              </w:rPr>
              <w:t>Includerea insulei Șimian și a cetății Ada Kaleh în circuitul turistic.</w:t>
            </w:r>
          </w:p>
          <w:p w14:paraId="550A674D">
            <w:pPr>
              <w:spacing w:before="60"/>
              <w:ind w:firstLine="0"/>
              <w:rPr>
                <w:rFonts w:cs="Arial"/>
                <w:sz w:val="22"/>
                <w:lang w:val="ro-RO"/>
              </w:rPr>
            </w:pPr>
            <w:r>
              <w:rPr>
                <w:rFonts w:eastAsia="SimSun" w:cs="Arial"/>
                <w:sz w:val="22"/>
                <w:lang w:val="ro-RO"/>
              </w:rPr>
              <w:t>Brand unificat cu logo, slogan și hartă digitală a obiectivelor.</w:t>
            </w:r>
          </w:p>
          <w:p w14:paraId="0B29D8C8">
            <w:pPr>
              <w:spacing w:before="60"/>
              <w:ind w:firstLine="0"/>
              <w:rPr>
                <w:rFonts w:cs="Arial"/>
                <w:sz w:val="22"/>
                <w:lang w:val="ro-RO"/>
              </w:rPr>
            </w:pPr>
            <w:r>
              <w:rPr>
                <w:rFonts w:eastAsia="SimSun" w:cs="Arial"/>
                <w:sz w:val="22"/>
                <w:lang w:val="ro-RO"/>
              </w:rPr>
              <w:t>Platformă online cu tururi virtuale, rezervări integrate și promoții sezoniere.</w:t>
            </w:r>
          </w:p>
          <w:p w14:paraId="5F6E2208">
            <w:pPr>
              <w:spacing w:before="60"/>
              <w:ind w:firstLine="0"/>
              <w:rPr>
                <w:rFonts w:cs="Arial"/>
                <w:sz w:val="22"/>
                <w:lang w:val="ro-RO"/>
              </w:rPr>
            </w:pPr>
            <w:r>
              <w:rPr>
                <w:rFonts w:eastAsia="SimSun" w:cs="Arial"/>
                <w:sz w:val="22"/>
                <w:lang w:val="ro-RO"/>
              </w:rPr>
              <w:t xml:space="preserve">Campanii de promovare în </w:t>
            </w:r>
            <w:r>
              <w:rPr>
                <w:rFonts w:cs="Arial"/>
                <w:sz w:val="22"/>
                <w:lang w:val="ro-RO"/>
              </w:rPr>
              <w:t xml:space="preserve">localități </w:t>
            </w:r>
            <w:r>
              <w:rPr>
                <w:rFonts w:eastAsia="SimSun" w:cs="Arial"/>
                <w:sz w:val="22"/>
                <w:lang w:val="ro-RO"/>
              </w:rPr>
              <w:t>învecinate (ex.: Drobeta Turnu Severin).</w:t>
            </w:r>
          </w:p>
          <w:p w14:paraId="705F138C">
            <w:pPr>
              <w:spacing w:before="60"/>
              <w:ind w:firstLine="0"/>
              <w:rPr>
                <w:rFonts w:cs="Arial"/>
                <w:sz w:val="22"/>
                <w:lang w:val="ro-RO"/>
              </w:rPr>
            </w:pPr>
          </w:p>
        </w:tc>
        <w:tc>
          <w:tcPr>
            <w:tcW w:w="2790" w:type="dxa"/>
          </w:tcPr>
          <w:p w14:paraId="0A7DD5C7">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Stimularea turismului și creșterea vizibilității comunei ca destinație turistică</w:t>
            </w:r>
          </w:p>
        </w:tc>
        <w:tc>
          <w:tcPr>
            <w:tcW w:w="1350" w:type="dxa"/>
          </w:tcPr>
          <w:p w14:paraId="187EE6C5">
            <w:pPr>
              <w:tabs>
                <w:tab w:val="left" w:pos="1848"/>
              </w:tabs>
              <w:spacing w:line="276" w:lineRule="auto"/>
              <w:ind w:firstLine="0"/>
              <w:jc w:val="left"/>
              <w:rPr>
                <w:rFonts w:eastAsia="SimSun" w:cs="Arial"/>
                <w:sz w:val="22"/>
                <w:lang w:val="ro-RO"/>
              </w:rPr>
            </w:pPr>
            <w:r>
              <w:rPr>
                <w:rFonts w:eastAsia="SimSun" w:cs="Arial"/>
                <w:sz w:val="22"/>
                <w:lang w:val="ro-RO"/>
              </w:rPr>
              <w:t>POCA (Priority 7 - Turism) și fonduri FEADR</w:t>
            </w:r>
          </w:p>
        </w:tc>
        <w:tc>
          <w:tcPr>
            <w:tcW w:w="1170" w:type="dxa"/>
          </w:tcPr>
          <w:p w14:paraId="5767E53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47D22E8D">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6550A572">
            <w:pPr>
              <w:tabs>
                <w:tab w:val="left" w:pos="1848"/>
              </w:tabs>
              <w:spacing w:line="276" w:lineRule="auto"/>
              <w:rPr>
                <w:rFonts w:cs="Arial"/>
                <w:sz w:val="22"/>
              </w:rPr>
            </w:pPr>
            <w:r>
              <w:rPr>
                <w:rFonts w:cs="Arial"/>
                <w:sz w:val="22"/>
              </w:rPr>
              <w:t>xx</w:t>
            </w:r>
          </w:p>
        </w:tc>
        <w:tc>
          <w:tcPr>
            <w:tcW w:w="734" w:type="dxa"/>
          </w:tcPr>
          <w:p w14:paraId="61E7F887">
            <w:pPr>
              <w:tabs>
                <w:tab w:val="left" w:pos="1848"/>
              </w:tabs>
              <w:spacing w:line="276" w:lineRule="auto"/>
              <w:rPr>
                <w:rFonts w:cs="Arial"/>
                <w:sz w:val="22"/>
                <w:lang w:val="ro-RO"/>
              </w:rPr>
            </w:pPr>
            <w:r>
              <w:rPr>
                <w:rFonts w:cs="Arial"/>
                <w:sz w:val="22"/>
                <w:lang w:val="ro-RO"/>
              </w:rPr>
              <w:t>x</w:t>
            </w:r>
          </w:p>
        </w:tc>
      </w:tr>
      <w:tr w14:paraId="2837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C10A17D">
            <w:pPr>
              <w:spacing w:line="276" w:lineRule="auto"/>
              <w:rPr>
                <w:rFonts w:cs="Arial"/>
                <w:sz w:val="22"/>
              </w:rPr>
            </w:pPr>
            <w:r>
              <w:rPr>
                <w:rFonts w:cs="Arial"/>
                <w:sz w:val="22"/>
              </w:rPr>
              <w:t>455</w:t>
            </w:r>
          </w:p>
        </w:tc>
        <w:tc>
          <w:tcPr>
            <w:tcW w:w="3330" w:type="dxa"/>
          </w:tcPr>
          <w:p w14:paraId="50F9ACCA">
            <w:pPr>
              <w:ind w:firstLine="0"/>
              <w:rPr>
                <w:rFonts w:cs="Arial"/>
                <w:sz w:val="22"/>
                <w:lang w:val="ro-RO"/>
              </w:rPr>
            </w:pPr>
            <w:r>
              <w:rPr>
                <w:rFonts w:cs="Arial"/>
                <w:sz w:val="22"/>
                <w:lang w:val="ro-RO"/>
              </w:rPr>
              <w:t>Amenajarea Insulei Șimian ca Eco-Destinație:</w:t>
            </w:r>
          </w:p>
          <w:p w14:paraId="1566A5B7">
            <w:pPr>
              <w:spacing w:before="60"/>
              <w:ind w:firstLine="0"/>
              <w:rPr>
                <w:rFonts w:cs="Arial"/>
                <w:sz w:val="22"/>
                <w:lang w:val="ro-RO"/>
              </w:rPr>
            </w:pPr>
            <w:r>
              <w:rPr>
                <w:rFonts w:eastAsia="SimSun" w:cs="Arial"/>
                <w:sz w:val="22"/>
                <w:lang w:val="ro-RO"/>
              </w:rPr>
              <w:t>Pontonuri eco-friendly, centre de informare cu panouri solare și trasee interpretative.</w:t>
            </w:r>
          </w:p>
          <w:p w14:paraId="1DF01947">
            <w:pPr>
              <w:spacing w:before="60"/>
              <w:ind w:firstLine="0"/>
              <w:rPr>
                <w:rFonts w:cs="Arial"/>
                <w:sz w:val="22"/>
                <w:lang w:val="ro-RO"/>
              </w:rPr>
            </w:pPr>
            <w:r>
              <w:rPr>
                <w:rFonts w:eastAsia="SimSun" w:cs="Arial"/>
                <w:sz w:val="22"/>
                <w:lang w:val="ro-RO"/>
              </w:rPr>
              <w:t>Cabane modular</w:t>
            </w:r>
            <w:r>
              <w:rPr>
                <w:rFonts w:cs="Arial"/>
                <w:sz w:val="22"/>
                <w:lang w:val="ro-RO"/>
              </w:rPr>
              <w:t>e</w:t>
            </w:r>
            <w:r>
              <w:rPr>
                <w:rFonts w:eastAsia="SimSun" w:cs="Arial"/>
                <w:sz w:val="22"/>
                <w:lang w:val="ro-RO"/>
              </w:rPr>
              <w:t xml:space="preserve"> pentru cazare low-impact și observator avifaunistic.</w:t>
            </w:r>
          </w:p>
          <w:p w14:paraId="1F066A53">
            <w:pPr>
              <w:spacing w:before="60"/>
              <w:ind w:firstLine="0"/>
              <w:rPr>
                <w:rFonts w:cs="Arial"/>
                <w:sz w:val="22"/>
                <w:lang w:val="ro-RO"/>
              </w:rPr>
            </w:pPr>
            <w:r>
              <w:rPr>
                <w:rFonts w:eastAsia="SimSun" w:cs="Arial"/>
                <w:sz w:val="22"/>
                <w:lang w:val="ro-RO"/>
              </w:rPr>
              <w:t>Regulament strict pentru protecția biodiversității (ROSCI0420).</w:t>
            </w:r>
          </w:p>
          <w:p w14:paraId="750FE690">
            <w:pPr>
              <w:spacing w:before="60"/>
              <w:ind w:firstLine="0"/>
              <w:rPr>
                <w:rFonts w:cs="Arial"/>
                <w:sz w:val="22"/>
                <w:lang w:val="ro-RO"/>
              </w:rPr>
            </w:pPr>
          </w:p>
        </w:tc>
        <w:tc>
          <w:tcPr>
            <w:tcW w:w="2790" w:type="dxa"/>
          </w:tcPr>
          <w:p w14:paraId="7E0D1E51">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Stimularea turismului și creșterea vizibilității comunei ca destinație turistică</w:t>
            </w:r>
          </w:p>
        </w:tc>
        <w:tc>
          <w:tcPr>
            <w:tcW w:w="1350" w:type="dxa"/>
          </w:tcPr>
          <w:p w14:paraId="5850FAF1">
            <w:pPr>
              <w:tabs>
                <w:tab w:val="left" w:pos="1848"/>
              </w:tabs>
              <w:spacing w:line="276" w:lineRule="auto"/>
              <w:ind w:firstLine="0"/>
              <w:jc w:val="left"/>
              <w:rPr>
                <w:rFonts w:eastAsia="SimSun" w:cs="Arial"/>
                <w:sz w:val="22"/>
                <w:lang w:val="ro-RO"/>
              </w:rPr>
            </w:pPr>
            <w:r>
              <w:rPr>
                <w:rFonts w:eastAsia="SimSun" w:cs="Arial"/>
                <w:sz w:val="22"/>
                <w:lang w:val="ro-RO"/>
              </w:rPr>
              <w:t>PNRR (Componenta Verde) și Fondul Mediului</w:t>
            </w:r>
          </w:p>
        </w:tc>
        <w:tc>
          <w:tcPr>
            <w:tcW w:w="1170" w:type="dxa"/>
          </w:tcPr>
          <w:p w14:paraId="35B7D095">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67C9C695">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42D435E5">
            <w:pPr>
              <w:tabs>
                <w:tab w:val="left" w:pos="1848"/>
              </w:tabs>
              <w:spacing w:line="276" w:lineRule="auto"/>
              <w:rPr>
                <w:rFonts w:cs="Arial"/>
                <w:sz w:val="22"/>
              </w:rPr>
            </w:pPr>
            <w:r>
              <w:rPr>
                <w:rFonts w:cs="Arial"/>
                <w:sz w:val="22"/>
              </w:rPr>
              <w:t>xx</w:t>
            </w:r>
          </w:p>
        </w:tc>
        <w:tc>
          <w:tcPr>
            <w:tcW w:w="734" w:type="dxa"/>
          </w:tcPr>
          <w:p w14:paraId="62245E04">
            <w:pPr>
              <w:tabs>
                <w:tab w:val="left" w:pos="1848"/>
              </w:tabs>
              <w:spacing w:line="276" w:lineRule="auto"/>
              <w:rPr>
                <w:rFonts w:cs="Arial"/>
                <w:sz w:val="22"/>
                <w:lang w:val="ro-RO"/>
              </w:rPr>
            </w:pPr>
            <w:r>
              <w:rPr>
                <w:rFonts w:cs="Arial"/>
                <w:sz w:val="22"/>
                <w:lang w:val="ro-RO"/>
              </w:rPr>
              <w:t>x</w:t>
            </w:r>
          </w:p>
        </w:tc>
      </w:tr>
      <w:tr w14:paraId="3A25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651F2D5D">
            <w:pPr>
              <w:spacing w:line="276" w:lineRule="auto"/>
              <w:rPr>
                <w:rFonts w:cs="Arial"/>
                <w:sz w:val="22"/>
              </w:rPr>
            </w:pPr>
            <w:r>
              <w:rPr>
                <w:rFonts w:cs="Arial"/>
                <w:sz w:val="22"/>
              </w:rPr>
              <w:t>456</w:t>
            </w:r>
          </w:p>
        </w:tc>
        <w:tc>
          <w:tcPr>
            <w:tcW w:w="3330" w:type="dxa"/>
          </w:tcPr>
          <w:p w14:paraId="781C2265">
            <w:pPr>
              <w:ind w:firstLine="0"/>
              <w:rPr>
                <w:rFonts w:cs="Arial"/>
                <w:sz w:val="22"/>
                <w:lang w:val="ro-RO"/>
              </w:rPr>
            </w:pPr>
            <w:r>
              <w:rPr>
                <w:rFonts w:eastAsia="Times New Roman" w:cs="Arial"/>
                <w:color w:val="000000"/>
                <w:sz w:val="22"/>
              </w:rPr>
              <w:t>Valorificarea prin proiecții 3D și instrumente digitale / automatizate ale insulei Șimian și cetății Ada Kaleh</w:t>
            </w:r>
          </w:p>
        </w:tc>
        <w:tc>
          <w:tcPr>
            <w:tcW w:w="2790" w:type="dxa"/>
          </w:tcPr>
          <w:p w14:paraId="6A60862F">
            <w:pPr>
              <w:pStyle w:val="42"/>
              <w:spacing w:line="276" w:lineRule="auto"/>
              <w:rPr>
                <w:iCs/>
                <w:color w:val="000000" w:themeColor="text1"/>
                <w:sz w:val="22"/>
                <w:szCs w:val="22"/>
                <w:lang w:val="ro-RO"/>
                <w14:textFill>
                  <w14:solidFill>
                    <w14:schemeClr w14:val="tx1"/>
                  </w14:solidFill>
                </w14:textFill>
              </w:rPr>
            </w:pPr>
            <w:r>
              <w:rPr>
                <w:iCs/>
                <w:color w:val="000000" w:themeColor="text1"/>
                <w:sz w:val="22"/>
                <w:szCs w:val="22"/>
                <w:lang w:val="ro-RO"/>
                <w14:textFill>
                  <w14:solidFill>
                    <w14:schemeClr w14:val="tx1"/>
                  </w14:solidFill>
                </w14:textFill>
              </w:rPr>
              <w:t>Stimularea turismului și creșterea vizibilității comunei ca destinație turistică</w:t>
            </w:r>
          </w:p>
        </w:tc>
        <w:tc>
          <w:tcPr>
            <w:tcW w:w="1350" w:type="dxa"/>
          </w:tcPr>
          <w:p w14:paraId="54D41421">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67150F60">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14089EE8">
            <w:pPr>
              <w:tabs>
                <w:tab w:val="left" w:pos="1848"/>
              </w:tabs>
              <w:spacing w:line="276" w:lineRule="auto"/>
              <w:ind w:firstLine="0"/>
              <w:jc w:val="left"/>
              <w:rPr>
                <w:rFonts w:eastAsia="SimSun" w:cs="Arial"/>
                <w:sz w:val="22"/>
                <w:lang w:val="ro-RO"/>
              </w:rPr>
            </w:pPr>
            <w:r>
              <w:rPr>
                <w:rFonts w:cs="Arial"/>
                <w:color w:val="000000" w:themeColor="text1"/>
                <w:sz w:val="22"/>
                <w:lang w:val="ro-RO"/>
                <w14:textFill>
                  <w14:solidFill>
                    <w14:schemeClr w14:val="tx1"/>
                  </w14:solidFill>
                </w14:textFill>
              </w:rPr>
              <w:t>Alte surse</w:t>
            </w:r>
          </w:p>
        </w:tc>
        <w:tc>
          <w:tcPr>
            <w:tcW w:w="1170" w:type="dxa"/>
          </w:tcPr>
          <w:p w14:paraId="29C4D7F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7F9ED71A">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0BAF0A9E">
            <w:pPr>
              <w:tabs>
                <w:tab w:val="left" w:pos="1848"/>
              </w:tabs>
              <w:spacing w:line="276" w:lineRule="auto"/>
              <w:rPr>
                <w:rFonts w:cs="Arial"/>
                <w:sz w:val="22"/>
              </w:rPr>
            </w:pPr>
            <w:r>
              <w:rPr>
                <w:rFonts w:cs="Arial"/>
                <w:sz w:val="22"/>
              </w:rPr>
              <w:t>xx</w:t>
            </w:r>
          </w:p>
        </w:tc>
        <w:tc>
          <w:tcPr>
            <w:tcW w:w="734" w:type="dxa"/>
          </w:tcPr>
          <w:p w14:paraId="553700C6">
            <w:pPr>
              <w:tabs>
                <w:tab w:val="left" w:pos="1848"/>
              </w:tabs>
              <w:spacing w:line="276" w:lineRule="auto"/>
              <w:rPr>
                <w:rFonts w:cs="Arial"/>
                <w:sz w:val="22"/>
                <w:lang w:val="ro-RO"/>
              </w:rPr>
            </w:pPr>
            <w:r>
              <w:rPr>
                <w:rFonts w:cs="Arial"/>
                <w:sz w:val="22"/>
                <w:lang w:val="ro-RO"/>
              </w:rPr>
              <w:t>x</w:t>
            </w:r>
          </w:p>
        </w:tc>
      </w:tr>
      <w:tr w14:paraId="7329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6BF7ADB3">
            <w:pPr>
              <w:spacing w:line="276" w:lineRule="auto"/>
              <w:rPr>
                <w:rFonts w:cs="Arial"/>
                <w:sz w:val="22"/>
              </w:rPr>
            </w:pPr>
            <w:r>
              <w:rPr>
                <w:rFonts w:cs="Arial"/>
                <w:sz w:val="22"/>
              </w:rPr>
              <w:t>557</w:t>
            </w:r>
          </w:p>
        </w:tc>
        <w:tc>
          <w:tcPr>
            <w:tcW w:w="3330" w:type="dxa"/>
          </w:tcPr>
          <w:p w14:paraId="17CF93F5">
            <w:pPr>
              <w:ind w:firstLine="0"/>
              <w:rPr>
                <w:rFonts w:eastAsia="Times New Roman" w:cs="Arial"/>
                <w:color w:val="000000"/>
                <w:sz w:val="22"/>
              </w:rPr>
            </w:pPr>
            <w:r>
              <w:rPr>
                <w:rFonts w:eastAsia="Times New Roman" w:cs="Arial"/>
                <w:color w:val="000000"/>
                <w:sz w:val="22"/>
              </w:rPr>
              <w:t>Program integrat de gestionare responsabilă a câinilor comunitari prin:  Recensământ și cartografiere canină; Campanii de sterilizare și microcipare gratuite; Adăpost modern și promovarea adopțiilor; Caravane veterinare mobile; Monitorizare, control și sancțiuni; Colaborare instituțională și implicare ONG</w:t>
            </w:r>
          </w:p>
        </w:tc>
        <w:tc>
          <w:tcPr>
            <w:tcW w:w="2790" w:type="dxa"/>
          </w:tcPr>
          <w:p w14:paraId="5B0AE137">
            <w:pPr>
              <w:pStyle w:val="42"/>
              <w:spacing w:line="276" w:lineRule="auto"/>
              <w:rPr>
                <w:rFonts w:eastAsia="Times New Roman"/>
                <w:sz w:val="22"/>
                <w:szCs w:val="22"/>
              </w:rPr>
            </w:pPr>
            <w:r>
              <w:rPr>
                <w:rFonts w:eastAsia="Times New Roman"/>
                <w:sz w:val="22"/>
                <w:szCs w:val="22"/>
              </w:rPr>
              <w:t>Reducerea semnificativă a numărului de câini fără stăpân pe raza comunei Șimian.</w:t>
            </w:r>
          </w:p>
          <w:p w14:paraId="4B6EEB4C">
            <w:pPr>
              <w:pStyle w:val="42"/>
              <w:spacing w:line="276" w:lineRule="auto"/>
              <w:rPr>
                <w:rFonts w:eastAsia="Times New Roman"/>
                <w:sz w:val="22"/>
                <w:szCs w:val="22"/>
              </w:rPr>
            </w:pPr>
            <w:r>
              <w:rPr>
                <w:rFonts w:eastAsia="Times New Roman"/>
                <w:sz w:val="22"/>
                <w:szCs w:val="22"/>
              </w:rPr>
              <w:t>Creșterea siguranței și confortului locuitorilor</w:t>
            </w:r>
          </w:p>
          <w:p w14:paraId="116BCF16">
            <w:pPr>
              <w:pStyle w:val="42"/>
              <w:spacing w:line="276" w:lineRule="auto"/>
              <w:rPr>
                <w:rFonts w:eastAsia="Times New Roman"/>
                <w:sz w:val="22"/>
                <w:szCs w:val="22"/>
              </w:rPr>
            </w:pPr>
            <w:r>
              <w:rPr>
                <w:rFonts w:eastAsia="Times New Roman"/>
                <w:sz w:val="22"/>
                <w:szCs w:val="22"/>
              </w:rPr>
              <w:t>Promovarea bunăstării animalelor și a adopțiilor responsabile</w:t>
            </w:r>
          </w:p>
        </w:tc>
        <w:tc>
          <w:tcPr>
            <w:tcW w:w="1350" w:type="dxa"/>
          </w:tcPr>
          <w:p w14:paraId="27BBA613">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64DEE65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6FF4317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061B98F3">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6BC7649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5B6AC52D">
            <w:pPr>
              <w:tabs>
                <w:tab w:val="left" w:pos="1848"/>
              </w:tabs>
              <w:spacing w:line="276" w:lineRule="auto"/>
              <w:rPr>
                <w:rFonts w:cs="Arial"/>
                <w:sz w:val="22"/>
              </w:rPr>
            </w:pPr>
          </w:p>
        </w:tc>
        <w:tc>
          <w:tcPr>
            <w:tcW w:w="734" w:type="dxa"/>
          </w:tcPr>
          <w:p w14:paraId="2A1B44C3">
            <w:pPr>
              <w:tabs>
                <w:tab w:val="left" w:pos="1848"/>
              </w:tabs>
              <w:spacing w:line="276" w:lineRule="auto"/>
              <w:rPr>
                <w:rFonts w:cs="Arial"/>
                <w:sz w:val="22"/>
                <w:lang w:val="ro-RO"/>
              </w:rPr>
            </w:pPr>
            <w:r>
              <w:rPr>
                <w:rFonts w:cs="Arial"/>
                <w:sz w:val="22"/>
                <w:lang w:val="ro-RO"/>
              </w:rPr>
              <w:t>xx</w:t>
            </w:r>
          </w:p>
        </w:tc>
      </w:tr>
      <w:tr w14:paraId="7E43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263A00F1">
            <w:pPr>
              <w:spacing w:line="276" w:lineRule="auto"/>
              <w:rPr>
                <w:rFonts w:cs="Arial"/>
                <w:sz w:val="22"/>
              </w:rPr>
            </w:pPr>
            <w:r>
              <w:rPr>
                <w:rFonts w:cs="Arial"/>
                <w:sz w:val="22"/>
              </w:rPr>
              <w:t>558</w:t>
            </w:r>
          </w:p>
        </w:tc>
        <w:tc>
          <w:tcPr>
            <w:tcW w:w="3330" w:type="dxa"/>
          </w:tcPr>
          <w:p w14:paraId="1A42F0A6">
            <w:pPr>
              <w:ind w:firstLine="0"/>
              <w:rPr>
                <w:rFonts w:eastAsia="Times New Roman" w:cs="Arial"/>
                <w:color w:val="000000"/>
                <w:sz w:val="22"/>
              </w:rPr>
            </w:pPr>
            <w:r>
              <w:rPr>
                <w:rFonts w:eastAsia="Times New Roman" w:cs="Arial"/>
                <w:color w:val="000000"/>
                <w:sz w:val="22"/>
              </w:rPr>
              <w:t>Crearea unui supermarket pentru locuitorii comunei Șimian</w:t>
            </w:r>
          </w:p>
        </w:tc>
        <w:tc>
          <w:tcPr>
            <w:tcW w:w="2790" w:type="dxa"/>
          </w:tcPr>
          <w:p w14:paraId="1516D4A4">
            <w:pPr>
              <w:pStyle w:val="42"/>
              <w:spacing w:line="276" w:lineRule="auto"/>
              <w:rPr>
                <w:rFonts w:eastAsia="Times New Roman"/>
                <w:sz w:val="22"/>
                <w:szCs w:val="22"/>
              </w:rPr>
            </w:pPr>
            <w:r>
              <w:rPr>
                <w:rFonts w:eastAsia="Times New Roman"/>
                <w:sz w:val="22"/>
                <w:szCs w:val="22"/>
              </w:rPr>
              <w:t>Creșterea accesului locuitorilor comunei la servicii de baza</w:t>
            </w:r>
          </w:p>
        </w:tc>
        <w:tc>
          <w:tcPr>
            <w:tcW w:w="1350" w:type="dxa"/>
          </w:tcPr>
          <w:p w14:paraId="3DF34D9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39F5560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27E8643B">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1959FE4F">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2C7DCC21">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710CE700">
            <w:pPr>
              <w:tabs>
                <w:tab w:val="left" w:pos="1848"/>
              </w:tabs>
              <w:spacing w:line="276" w:lineRule="auto"/>
              <w:rPr>
                <w:rFonts w:cs="Arial"/>
                <w:sz w:val="22"/>
              </w:rPr>
            </w:pPr>
          </w:p>
        </w:tc>
        <w:tc>
          <w:tcPr>
            <w:tcW w:w="734" w:type="dxa"/>
          </w:tcPr>
          <w:p w14:paraId="1706E31D">
            <w:pPr>
              <w:tabs>
                <w:tab w:val="left" w:pos="1848"/>
              </w:tabs>
              <w:spacing w:line="276" w:lineRule="auto"/>
              <w:rPr>
                <w:rFonts w:cs="Arial"/>
                <w:sz w:val="22"/>
                <w:lang w:val="ro-RO"/>
              </w:rPr>
            </w:pPr>
            <w:r>
              <w:rPr>
                <w:rFonts w:cs="Arial"/>
                <w:sz w:val="22"/>
                <w:lang w:val="ro-RO"/>
              </w:rPr>
              <w:t>xx</w:t>
            </w:r>
          </w:p>
        </w:tc>
      </w:tr>
      <w:tr w14:paraId="18D4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5939636">
            <w:pPr>
              <w:spacing w:line="276" w:lineRule="auto"/>
              <w:rPr>
                <w:rFonts w:cs="Arial"/>
                <w:sz w:val="22"/>
              </w:rPr>
            </w:pPr>
            <w:r>
              <w:rPr>
                <w:rFonts w:cs="Arial"/>
                <w:sz w:val="22"/>
              </w:rPr>
              <w:t>559</w:t>
            </w:r>
          </w:p>
        </w:tc>
        <w:tc>
          <w:tcPr>
            <w:tcW w:w="3330" w:type="dxa"/>
          </w:tcPr>
          <w:p w14:paraId="09F64A25">
            <w:pPr>
              <w:ind w:firstLine="0"/>
              <w:rPr>
                <w:rFonts w:eastAsia="Times New Roman" w:cs="Arial"/>
                <w:color w:val="000000"/>
                <w:sz w:val="22"/>
              </w:rPr>
            </w:pPr>
            <w:r>
              <w:rPr>
                <w:rFonts w:eastAsia="Times New Roman" w:cs="Arial"/>
                <w:color w:val="000000"/>
                <w:sz w:val="22"/>
              </w:rPr>
              <w:t>Faleza Dunării – Parc de Agrement și Promenadă la Șimian</w:t>
            </w:r>
          </w:p>
        </w:tc>
        <w:tc>
          <w:tcPr>
            <w:tcW w:w="2790" w:type="dxa"/>
          </w:tcPr>
          <w:p w14:paraId="48872D94">
            <w:pPr>
              <w:pStyle w:val="42"/>
              <w:spacing w:line="276" w:lineRule="auto"/>
              <w:rPr>
                <w:rFonts w:eastAsia="Times New Roman"/>
                <w:sz w:val="22"/>
                <w:szCs w:val="22"/>
              </w:rPr>
            </w:pPr>
            <w:r>
              <w:rPr>
                <w:rFonts w:eastAsia="Times New Roman"/>
                <w:sz w:val="22"/>
                <w:szCs w:val="22"/>
              </w:rPr>
              <w:t>Amenajarea falezei Dunării. Creșterea accesului locuitorilor la oportunități de petrecere a timpului liber</w:t>
            </w:r>
          </w:p>
        </w:tc>
        <w:tc>
          <w:tcPr>
            <w:tcW w:w="1350" w:type="dxa"/>
          </w:tcPr>
          <w:p w14:paraId="41E8653F">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0B80F55C">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04EC7331">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7E0BCBE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259A6A76">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2FF2E8FD">
            <w:pPr>
              <w:tabs>
                <w:tab w:val="left" w:pos="1848"/>
              </w:tabs>
              <w:spacing w:line="276" w:lineRule="auto"/>
              <w:rPr>
                <w:rFonts w:cs="Arial"/>
                <w:sz w:val="22"/>
              </w:rPr>
            </w:pPr>
          </w:p>
        </w:tc>
        <w:tc>
          <w:tcPr>
            <w:tcW w:w="734" w:type="dxa"/>
          </w:tcPr>
          <w:p w14:paraId="14E10DA0">
            <w:pPr>
              <w:tabs>
                <w:tab w:val="left" w:pos="1848"/>
              </w:tabs>
              <w:spacing w:line="276" w:lineRule="auto"/>
              <w:rPr>
                <w:rFonts w:cs="Arial"/>
                <w:sz w:val="22"/>
                <w:lang w:val="ro-RO"/>
              </w:rPr>
            </w:pPr>
            <w:r>
              <w:rPr>
                <w:rFonts w:cs="Arial"/>
                <w:sz w:val="22"/>
                <w:lang w:val="ro-RO"/>
              </w:rPr>
              <w:t>xx</w:t>
            </w:r>
          </w:p>
        </w:tc>
      </w:tr>
      <w:tr w14:paraId="0228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43E8BCCB">
            <w:pPr>
              <w:spacing w:line="276" w:lineRule="auto"/>
              <w:rPr>
                <w:rFonts w:cs="Arial"/>
                <w:sz w:val="22"/>
              </w:rPr>
            </w:pPr>
            <w:r>
              <w:rPr>
                <w:rFonts w:cs="Arial"/>
                <w:sz w:val="22"/>
              </w:rPr>
              <w:t>660</w:t>
            </w:r>
          </w:p>
        </w:tc>
        <w:tc>
          <w:tcPr>
            <w:tcW w:w="3330" w:type="dxa"/>
          </w:tcPr>
          <w:p w14:paraId="529F8CF0">
            <w:pPr>
              <w:ind w:firstLine="0"/>
              <w:rPr>
                <w:rFonts w:eastAsia="Times New Roman" w:cs="Arial"/>
                <w:color w:val="000000"/>
                <w:sz w:val="22"/>
              </w:rPr>
            </w:pPr>
            <w:r>
              <w:rPr>
                <w:rFonts w:eastAsia="Times New Roman" w:cs="Arial"/>
                <w:color w:val="000000"/>
                <w:sz w:val="22"/>
              </w:rPr>
              <w:t>Înființare grădiniță și creșă</w:t>
            </w:r>
          </w:p>
        </w:tc>
        <w:tc>
          <w:tcPr>
            <w:tcW w:w="2790" w:type="dxa"/>
          </w:tcPr>
          <w:p w14:paraId="4DEEC12F">
            <w:pPr>
              <w:pStyle w:val="42"/>
              <w:spacing w:line="276" w:lineRule="auto"/>
              <w:rPr>
                <w:rFonts w:eastAsia="Times New Roman"/>
                <w:sz w:val="22"/>
                <w:szCs w:val="22"/>
              </w:rPr>
            </w:pPr>
            <w:r>
              <w:rPr>
                <w:rFonts w:eastAsia="Times New Roman"/>
                <w:sz w:val="22"/>
                <w:szCs w:val="22"/>
              </w:rPr>
              <w:t>Creșterea accesului locuitorilor la servicii de bază</w:t>
            </w:r>
          </w:p>
        </w:tc>
        <w:tc>
          <w:tcPr>
            <w:tcW w:w="1350" w:type="dxa"/>
          </w:tcPr>
          <w:p w14:paraId="2475D630">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57A6BF16">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5B75F46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572ED6F5">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3AF95B4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0B2FB0AD">
            <w:pPr>
              <w:tabs>
                <w:tab w:val="left" w:pos="1848"/>
              </w:tabs>
              <w:spacing w:line="276" w:lineRule="auto"/>
              <w:rPr>
                <w:rFonts w:cs="Arial"/>
                <w:sz w:val="22"/>
              </w:rPr>
            </w:pPr>
          </w:p>
        </w:tc>
        <w:tc>
          <w:tcPr>
            <w:tcW w:w="734" w:type="dxa"/>
          </w:tcPr>
          <w:p w14:paraId="3F999651">
            <w:pPr>
              <w:tabs>
                <w:tab w:val="left" w:pos="1848"/>
              </w:tabs>
              <w:spacing w:line="276" w:lineRule="auto"/>
              <w:rPr>
                <w:rFonts w:cs="Arial"/>
                <w:sz w:val="22"/>
                <w:lang w:val="ro-RO"/>
              </w:rPr>
            </w:pPr>
            <w:r>
              <w:rPr>
                <w:rFonts w:cs="Arial"/>
                <w:sz w:val="22"/>
                <w:lang w:val="ro-RO"/>
              </w:rPr>
              <w:t>xx</w:t>
            </w:r>
          </w:p>
        </w:tc>
      </w:tr>
      <w:tr w14:paraId="5B41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D0B1DBD">
            <w:pPr>
              <w:spacing w:line="276" w:lineRule="auto"/>
              <w:rPr>
                <w:rFonts w:cs="Arial"/>
                <w:sz w:val="22"/>
              </w:rPr>
            </w:pPr>
            <w:r>
              <w:rPr>
                <w:rFonts w:cs="Arial"/>
                <w:sz w:val="22"/>
              </w:rPr>
              <w:t>661</w:t>
            </w:r>
          </w:p>
        </w:tc>
        <w:tc>
          <w:tcPr>
            <w:tcW w:w="3330" w:type="dxa"/>
          </w:tcPr>
          <w:p w14:paraId="0E80BCFF">
            <w:pPr>
              <w:ind w:firstLine="0"/>
              <w:rPr>
                <w:rFonts w:eastAsia="Times New Roman" w:cs="Arial"/>
                <w:color w:val="000000"/>
                <w:sz w:val="22"/>
              </w:rPr>
            </w:pPr>
            <w:r>
              <w:rPr>
                <w:rFonts w:eastAsia="Times New Roman" w:cs="Arial"/>
                <w:color w:val="000000"/>
                <w:sz w:val="22"/>
              </w:rPr>
              <w:t>Extinderea rețelei de bancomate prin atragerea de companii din sfera bancară</w:t>
            </w:r>
          </w:p>
        </w:tc>
        <w:tc>
          <w:tcPr>
            <w:tcW w:w="2790" w:type="dxa"/>
          </w:tcPr>
          <w:p w14:paraId="7BDF343C">
            <w:pPr>
              <w:pStyle w:val="42"/>
              <w:spacing w:line="276" w:lineRule="auto"/>
              <w:rPr>
                <w:rFonts w:eastAsia="Times New Roman"/>
                <w:sz w:val="22"/>
                <w:szCs w:val="22"/>
              </w:rPr>
            </w:pPr>
            <w:r>
              <w:rPr>
                <w:rFonts w:eastAsia="Times New Roman"/>
                <w:sz w:val="22"/>
                <w:szCs w:val="22"/>
              </w:rPr>
              <w:t>Creșterea accesului locuitorilor la servicii de bază</w:t>
            </w:r>
          </w:p>
        </w:tc>
        <w:tc>
          <w:tcPr>
            <w:tcW w:w="1350" w:type="dxa"/>
          </w:tcPr>
          <w:p w14:paraId="56E9FDC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69B9D7AB">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3CE3EB71">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0ECC1B74">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Idee de proiect</w:t>
            </w:r>
          </w:p>
        </w:tc>
        <w:tc>
          <w:tcPr>
            <w:tcW w:w="1026" w:type="dxa"/>
          </w:tcPr>
          <w:p w14:paraId="4745FCF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2027</w:t>
            </w:r>
          </w:p>
        </w:tc>
        <w:tc>
          <w:tcPr>
            <w:tcW w:w="684" w:type="dxa"/>
          </w:tcPr>
          <w:p w14:paraId="6306890A">
            <w:pPr>
              <w:tabs>
                <w:tab w:val="left" w:pos="1848"/>
              </w:tabs>
              <w:spacing w:line="276" w:lineRule="auto"/>
              <w:rPr>
                <w:rFonts w:cs="Arial"/>
                <w:sz w:val="22"/>
              </w:rPr>
            </w:pPr>
          </w:p>
        </w:tc>
        <w:tc>
          <w:tcPr>
            <w:tcW w:w="734" w:type="dxa"/>
          </w:tcPr>
          <w:p w14:paraId="0CC42166">
            <w:pPr>
              <w:tabs>
                <w:tab w:val="left" w:pos="1848"/>
              </w:tabs>
              <w:spacing w:line="276" w:lineRule="auto"/>
              <w:rPr>
                <w:rFonts w:cs="Arial"/>
                <w:sz w:val="22"/>
                <w:lang w:val="ro-RO"/>
              </w:rPr>
            </w:pPr>
            <w:r>
              <w:rPr>
                <w:rFonts w:cs="Arial"/>
                <w:sz w:val="22"/>
                <w:lang w:val="ro-RO"/>
              </w:rPr>
              <w:t>xx</w:t>
            </w:r>
          </w:p>
        </w:tc>
      </w:tr>
      <w:tr w14:paraId="4F5C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619" w:type="dxa"/>
            <w:gridSpan w:val="8"/>
          </w:tcPr>
          <w:p w14:paraId="72A0C98B">
            <w:pPr>
              <w:pStyle w:val="4"/>
              <w:ind w:firstLine="0"/>
              <w:rPr>
                <w:rFonts w:cs="Arial"/>
                <w:sz w:val="22"/>
                <w:szCs w:val="22"/>
                <w:lang w:val="ro-RO"/>
              </w:rPr>
            </w:pPr>
            <w:bookmarkStart w:id="96" w:name="_Toc201926356"/>
            <w:bookmarkStart w:id="97" w:name="OLE_LINK29"/>
            <w:r>
              <w:rPr>
                <w:rFonts w:cs="Arial"/>
                <w:sz w:val="22"/>
                <w:szCs w:val="22"/>
                <w:lang w:val="ro-RO"/>
              </w:rPr>
              <w:t>DIRECȚIA STRATEGICĂ 5 - Guvernanță locală participativă și digitalizare</w:t>
            </w:r>
            <w:bookmarkEnd w:id="96"/>
            <w:r>
              <w:rPr>
                <w:rFonts w:cs="Arial"/>
                <w:sz w:val="22"/>
                <w:szCs w:val="22"/>
                <w:lang w:val="ro-RO"/>
              </w:rPr>
              <w:t xml:space="preserve"> </w:t>
            </w:r>
          </w:p>
          <w:p w14:paraId="1D60CFF6">
            <w:pPr>
              <w:tabs>
                <w:tab w:val="left" w:pos="1848"/>
              </w:tabs>
              <w:ind w:firstLine="0"/>
              <w:rPr>
                <w:rFonts w:cs="Arial"/>
                <w:sz w:val="22"/>
                <w:lang w:val="ro-RO"/>
              </w:rPr>
            </w:pPr>
            <w:r>
              <w:rPr>
                <w:rFonts w:cs="Arial"/>
                <w:b/>
                <w:bCs/>
                <w:color w:val="2E75B6" w:themeColor="accent5" w:themeShade="BF"/>
                <w:sz w:val="22"/>
                <w:lang w:val="ro-RO"/>
              </w:rPr>
              <w:t xml:space="preserve">Obiectivul strategic nr. 5 - </w:t>
            </w:r>
            <w:r>
              <w:rPr>
                <w:rFonts w:cs="Arial"/>
                <w:sz w:val="22"/>
                <w:lang w:val="ro-RO"/>
              </w:rPr>
              <w:t xml:space="preserve">Consolidarea transparenței, a implicării cetățenilor în procesul decizional, digitalizarea serviciilor publice și dezvoltarea parteneriatelor cu mediul privat, societatea civilă și instituțiile regionale </w:t>
            </w:r>
          </w:p>
          <w:bookmarkEnd w:id="97"/>
          <w:p w14:paraId="05BA18F6">
            <w:pPr>
              <w:tabs>
                <w:tab w:val="left" w:pos="1848"/>
              </w:tabs>
              <w:spacing w:line="276" w:lineRule="auto"/>
              <w:jc w:val="center"/>
              <w:rPr>
                <w:rFonts w:cs="Arial"/>
                <w:sz w:val="22"/>
              </w:rPr>
            </w:pPr>
          </w:p>
        </w:tc>
      </w:tr>
      <w:tr w14:paraId="18A1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shd w:val="clear" w:color="auto" w:fill="auto"/>
          </w:tcPr>
          <w:p w14:paraId="22B6B464">
            <w:pPr>
              <w:spacing w:line="276" w:lineRule="auto"/>
              <w:rPr>
                <w:rFonts w:cs="Arial"/>
                <w:sz w:val="22"/>
              </w:rPr>
            </w:pPr>
            <w:r>
              <w:rPr>
                <w:rFonts w:cs="Arial"/>
                <w:sz w:val="22"/>
              </w:rPr>
              <w:t>162</w:t>
            </w:r>
          </w:p>
        </w:tc>
        <w:tc>
          <w:tcPr>
            <w:tcW w:w="3330" w:type="dxa"/>
            <w:shd w:val="clear" w:color="auto" w:fill="auto"/>
          </w:tcPr>
          <w:p w14:paraId="5A9631D2">
            <w:pPr>
              <w:spacing w:line="276" w:lineRule="auto"/>
              <w:rPr>
                <w:rFonts w:cs="Arial"/>
                <w:i/>
                <w:iCs/>
                <w:color w:val="000000" w:themeColor="text1"/>
                <w:sz w:val="22"/>
                <w:lang w:val="ro-RO"/>
                <w14:textFill>
                  <w14:solidFill>
                    <w14:schemeClr w14:val="tx1"/>
                  </w14:solidFill>
                </w14:textFill>
              </w:rPr>
            </w:pPr>
          </w:p>
          <w:p w14:paraId="5633354C">
            <w:pPr>
              <w:tabs>
                <w:tab w:val="left" w:pos="1461"/>
              </w:tabs>
              <w:spacing w:line="276" w:lineRule="auto"/>
              <w:ind w:firstLine="0"/>
              <w:jc w:val="left"/>
              <w:rPr>
                <w:rFonts w:cs="Arial"/>
                <w:sz w:val="22"/>
              </w:rPr>
            </w:pPr>
            <w:r>
              <w:rPr>
                <w:rFonts w:cs="Arial"/>
                <w:color w:val="000000" w:themeColor="text1"/>
                <w:sz w:val="22"/>
                <w:lang w:val="ro-RO"/>
                <w14:textFill>
                  <w14:solidFill>
                    <w14:schemeClr w14:val="tx1"/>
                  </w14:solidFill>
                </w14:textFill>
              </w:rPr>
              <w:t>Construire cladire noua Primarie,com. Simian</w:t>
            </w:r>
          </w:p>
        </w:tc>
        <w:tc>
          <w:tcPr>
            <w:tcW w:w="2790" w:type="dxa"/>
            <w:shd w:val="clear" w:color="auto" w:fill="auto"/>
          </w:tcPr>
          <w:p w14:paraId="05907DB4">
            <w:pPr>
              <w:pStyle w:val="42"/>
              <w:rPr>
                <w:sz w:val="22"/>
                <w:szCs w:val="22"/>
                <w:lang w:val="ro-RO"/>
              </w:rPr>
            </w:pPr>
            <w:r>
              <w:rPr>
                <w:iCs/>
                <w:color w:val="000000" w:themeColor="text1"/>
                <w:sz w:val="22"/>
                <w:szCs w:val="22"/>
                <w:lang w:val="ro-RO"/>
                <w14:textFill>
                  <w14:solidFill>
                    <w14:schemeClr w14:val="tx1"/>
                  </w14:solidFill>
                </w14:textFill>
              </w:rPr>
              <w:t>Finalizare constructie</w:t>
            </w:r>
          </w:p>
        </w:tc>
        <w:tc>
          <w:tcPr>
            <w:tcW w:w="1350" w:type="dxa"/>
            <w:shd w:val="clear" w:color="auto" w:fill="auto"/>
          </w:tcPr>
          <w:p w14:paraId="133314BF">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Buget Local</w:t>
            </w:r>
          </w:p>
        </w:tc>
        <w:tc>
          <w:tcPr>
            <w:tcW w:w="1170" w:type="dxa"/>
            <w:shd w:val="clear" w:color="auto" w:fill="auto"/>
          </w:tcPr>
          <w:p w14:paraId="7228DC67">
            <w:pPr>
              <w:tabs>
                <w:tab w:val="left" w:pos="1848"/>
              </w:tabs>
              <w:spacing w:line="276" w:lineRule="auto"/>
              <w:ind w:firstLine="0"/>
              <w:jc w:val="center"/>
              <w:rPr>
                <w:rFonts w:cs="Arial"/>
                <w:sz w:val="22"/>
              </w:rPr>
            </w:pPr>
            <w:r>
              <w:rPr>
                <w:rFonts w:cs="Arial"/>
                <w:color w:val="000000" w:themeColor="text1"/>
                <w:sz w:val="22"/>
                <w:lang w:val="ro-RO"/>
                <w14:textFill>
                  <w14:solidFill>
                    <w14:schemeClr w14:val="tx1"/>
                  </w14:solidFill>
                </w14:textFill>
              </w:rPr>
              <w:t>In implementare</w:t>
            </w:r>
          </w:p>
        </w:tc>
        <w:tc>
          <w:tcPr>
            <w:tcW w:w="1026" w:type="dxa"/>
            <w:shd w:val="clear" w:color="auto" w:fill="auto"/>
          </w:tcPr>
          <w:p w14:paraId="249C4FEF">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shd w:val="clear" w:color="auto" w:fill="auto"/>
          </w:tcPr>
          <w:p w14:paraId="1BB348B0">
            <w:pPr>
              <w:tabs>
                <w:tab w:val="left" w:pos="1848"/>
              </w:tabs>
              <w:spacing w:line="276" w:lineRule="auto"/>
              <w:rPr>
                <w:rFonts w:cs="Arial"/>
                <w:sz w:val="22"/>
              </w:rPr>
            </w:pPr>
          </w:p>
        </w:tc>
        <w:tc>
          <w:tcPr>
            <w:tcW w:w="734" w:type="dxa"/>
            <w:shd w:val="clear" w:color="auto" w:fill="auto"/>
          </w:tcPr>
          <w:p w14:paraId="47F838A4">
            <w:pPr>
              <w:tabs>
                <w:tab w:val="left" w:pos="1848"/>
              </w:tabs>
              <w:spacing w:line="276" w:lineRule="auto"/>
              <w:rPr>
                <w:rFonts w:cs="Arial"/>
                <w:sz w:val="22"/>
              </w:rPr>
            </w:pPr>
            <w:r>
              <w:rPr>
                <w:rFonts w:cs="Arial"/>
                <w:sz w:val="22"/>
              </w:rPr>
              <w:t>xx</w:t>
            </w:r>
          </w:p>
        </w:tc>
      </w:tr>
      <w:tr w14:paraId="4DAF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172F1F43">
            <w:pPr>
              <w:spacing w:line="276" w:lineRule="auto"/>
              <w:rPr>
                <w:rFonts w:cs="Arial"/>
                <w:sz w:val="22"/>
              </w:rPr>
            </w:pPr>
            <w:r>
              <w:rPr>
                <w:rFonts w:cs="Arial"/>
                <w:sz w:val="22"/>
              </w:rPr>
              <w:t>163</w:t>
            </w:r>
          </w:p>
        </w:tc>
        <w:tc>
          <w:tcPr>
            <w:tcW w:w="3330" w:type="dxa"/>
          </w:tcPr>
          <w:p w14:paraId="05CF15E0">
            <w:pPr>
              <w:tabs>
                <w:tab w:val="left" w:pos="1461"/>
              </w:tabs>
              <w:spacing w:line="276" w:lineRule="auto"/>
              <w:ind w:firstLine="0"/>
              <w:jc w:val="left"/>
              <w:rPr>
                <w:rFonts w:cs="Arial"/>
                <w:sz w:val="22"/>
              </w:rPr>
            </w:pPr>
            <w:r>
              <w:rPr>
                <w:rFonts w:cs="Arial"/>
                <w:sz w:val="22"/>
              </w:rPr>
              <w:t>Platformă digitală integrată pentru servicii publice și consultare cetățenească</w:t>
            </w:r>
          </w:p>
        </w:tc>
        <w:tc>
          <w:tcPr>
            <w:tcW w:w="2790" w:type="dxa"/>
          </w:tcPr>
          <w:p w14:paraId="1A2CB46D">
            <w:pPr>
              <w:ind w:firstLine="0"/>
              <w:rPr>
                <w:rFonts w:cs="Arial"/>
                <w:sz w:val="22"/>
              </w:rPr>
            </w:pPr>
            <w:r>
              <w:rPr>
                <w:rFonts w:cs="Arial"/>
                <w:sz w:val="22"/>
              </w:rPr>
              <w:t>Dezvoltarea unei platforme online care să permită accesul rapid la servicii publice digitale (eliberare documente, programări, plăți online), raportarea problemelor din comunitate, participarea la consultări publice și transmiterea de sugestii către administrație</w:t>
            </w:r>
          </w:p>
        </w:tc>
        <w:tc>
          <w:tcPr>
            <w:tcW w:w="1350" w:type="dxa"/>
          </w:tcPr>
          <w:p w14:paraId="2B766E23">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796C0197">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4344FD86">
            <w:pPr>
              <w:tabs>
                <w:tab w:val="left" w:pos="1848"/>
              </w:tabs>
              <w:spacing w:line="276" w:lineRule="auto"/>
              <w:ind w:firstLine="0"/>
              <w:rPr>
                <w:rFonts w:cs="Arial"/>
                <w:sz w:val="22"/>
              </w:rPr>
            </w:pPr>
            <w:r>
              <w:rPr>
                <w:rFonts w:cs="Arial"/>
                <w:color w:val="000000" w:themeColor="text1"/>
                <w:sz w:val="22"/>
                <w:lang w:val="ro-RO"/>
                <w14:textFill>
                  <w14:solidFill>
                    <w14:schemeClr w14:val="tx1"/>
                  </w14:solidFill>
                </w14:textFill>
              </w:rPr>
              <w:t>Alte surse</w:t>
            </w:r>
          </w:p>
        </w:tc>
        <w:tc>
          <w:tcPr>
            <w:tcW w:w="1170" w:type="dxa"/>
          </w:tcPr>
          <w:p w14:paraId="7F0A680C">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4D46929D">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27736D6C">
            <w:pPr>
              <w:spacing w:line="276" w:lineRule="auto"/>
              <w:rPr>
                <w:rFonts w:cs="Arial"/>
                <w:sz w:val="22"/>
              </w:rPr>
            </w:pPr>
            <w:r>
              <w:rPr>
                <w:rFonts w:cs="Arial"/>
                <w:sz w:val="22"/>
              </w:rPr>
              <w:t>x</w:t>
            </w:r>
          </w:p>
        </w:tc>
        <w:tc>
          <w:tcPr>
            <w:tcW w:w="734" w:type="dxa"/>
          </w:tcPr>
          <w:p w14:paraId="47D4E708">
            <w:pPr>
              <w:spacing w:line="276" w:lineRule="auto"/>
              <w:rPr>
                <w:rFonts w:cs="Arial"/>
                <w:sz w:val="22"/>
              </w:rPr>
            </w:pPr>
            <w:r>
              <w:rPr>
                <w:rFonts w:cs="Arial"/>
                <w:sz w:val="22"/>
                <w:lang w:val="ro-RO"/>
              </w:rPr>
              <w:t>xx</w:t>
            </w:r>
          </w:p>
        </w:tc>
      </w:tr>
      <w:tr w14:paraId="33D5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559BF4C">
            <w:pPr>
              <w:spacing w:line="276" w:lineRule="auto"/>
              <w:ind w:firstLine="0"/>
              <w:rPr>
                <w:rFonts w:cs="Arial"/>
                <w:sz w:val="22"/>
              </w:rPr>
            </w:pPr>
            <w:r>
              <w:rPr>
                <w:rFonts w:cs="Arial"/>
                <w:sz w:val="22"/>
              </w:rPr>
              <w:t>64</w:t>
            </w:r>
          </w:p>
        </w:tc>
        <w:tc>
          <w:tcPr>
            <w:tcW w:w="3330" w:type="dxa"/>
          </w:tcPr>
          <w:p w14:paraId="5F0C6734">
            <w:pPr>
              <w:tabs>
                <w:tab w:val="left" w:pos="1461"/>
              </w:tabs>
              <w:spacing w:line="276" w:lineRule="auto"/>
              <w:ind w:firstLine="0"/>
              <w:jc w:val="left"/>
              <w:rPr>
                <w:rFonts w:cs="Arial"/>
                <w:sz w:val="22"/>
              </w:rPr>
            </w:pPr>
            <w:r>
              <w:rPr>
                <w:rFonts w:cs="Arial"/>
                <w:sz w:val="22"/>
              </w:rPr>
              <w:t>Program de optimizare și digitalizare a proceselor administrative</w:t>
            </w:r>
          </w:p>
        </w:tc>
        <w:tc>
          <w:tcPr>
            <w:tcW w:w="2790" w:type="dxa"/>
          </w:tcPr>
          <w:p w14:paraId="79E01040">
            <w:pPr>
              <w:ind w:firstLine="0"/>
              <w:rPr>
                <w:rFonts w:cs="Arial"/>
                <w:sz w:val="22"/>
              </w:rPr>
            </w:pPr>
            <w:r>
              <w:rPr>
                <w:rFonts w:cs="Arial"/>
                <w:sz w:val="22"/>
              </w:rPr>
              <w:t>Auditarea proceselor interne ale primăriei și digitalizarea acestora, inclusiv implementarea unui sistem de management electronic al documentelor, automatizarea fluxurilor de lucru și instruirea personalului pentru utilizarea tehnologiilor moderne</w:t>
            </w:r>
          </w:p>
        </w:tc>
        <w:tc>
          <w:tcPr>
            <w:tcW w:w="1350" w:type="dxa"/>
          </w:tcPr>
          <w:p w14:paraId="26DD4C84">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12CD2EF6">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23DC69B4">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59CFDB02">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1611B38C">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4021B0D7">
            <w:pPr>
              <w:spacing w:line="276" w:lineRule="auto"/>
              <w:rPr>
                <w:rFonts w:cs="Arial"/>
                <w:sz w:val="22"/>
              </w:rPr>
            </w:pPr>
            <w:r>
              <w:rPr>
                <w:rFonts w:cs="Arial"/>
                <w:sz w:val="22"/>
              </w:rPr>
              <w:t>x</w:t>
            </w:r>
          </w:p>
        </w:tc>
        <w:tc>
          <w:tcPr>
            <w:tcW w:w="734" w:type="dxa"/>
          </w:tcPr>
          <w:p w14:paraId="6789FDAC">
            <w:pPr>
              <w:tabs>
                <w:tab w:val="left" w:pos="1848"/>
              </w:tabs>
              <w:spacing w:line="276" w:lineRule="auto"/>
              <w:rPr>
                <w:rFonts w:cs="Arial"/>
                <w:sz w:val="22"/>
              </w:rPr>
            </w:pPr>
            <w:r>
              <w:rPr>
                <w:rFonts w:cs="Arial"/>
                <w:sz w:val="22"/>
                <w:lang w:val="ro-RO"/>
              </w:rPr>
              <w:t>xx</w:t>
            </w:r>
          </w:p>
        </w:tc>
      </w:tr>
      <w:tr w14:paraId="3F57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24802A1E">
            <w:pPr>
              <w:spacing w:line="276" w:lineRule="auto"/>
              <w:rPr>
                <w:rFonts w:cs="Arial"/>
                <w:sz w:val="22"/>
              </w:rPr>
            </w:pPr>
            <w:r>
              <w:rPr>
                <w:rFonts w:cs="Arial"/>
                <w:sz w:val="22"/>
              </w:rPr>
              <w:t>465</w:t>
            </w:r>
          </w:p>
        </w:tc>
        <w:tc>
          <w:tcPr>
            <w:tcW w:w="3330" w:type="dxa"/>
          </w:tcPr>
          <w:p w14:paraId="63DC79C4">
            <w:pPr>
              <w:tabs>
                <w:tab w:val="left" w:pos="1461"/>
              </w:tabs>
              <w:spacing w:line="276" w:lineRule="auto"/>
              <w:ind w:firstLine="0"/>
              <w:rPr>
                <w:rFonts w:cs="Arial"/>
                <w:sz w:val="22"/>
              </w:rPr>
            </w:pPr>
            <w:r>
              <w:rPr>
                <w:rFonts w:eastAsia="Times New Roman" w:cs="Arial"/>
                <w:color w:val="000000"/>
                <w:sz w:val="22"/>
              </w:rPr>
              <w:t>Îmbunătățirea competențelor personalului din administrația publică în vederea creșterii calității serviciilor oferite către cetățeni în comuna Șimian</w:t>
            </w:r>
          </w:p>
        </w:tc>
        <w:tc>
          <w:tcPr>
            <w:tcW w:w="2790" w:type="dxa"/>
          </w:tcPr>
          <w:p w14:paraId="1C384F3D">
            <w:pPr>
              <w:ind w:firstLine="0"/>
              <w:rPr>
                <w:rFonts w:cs="Arial"/>
                <w:sz w:val="22"/>
              </w:rPr>
            </w:pPr>
            <w:r>
              <w:rPr>
                <w:rFonts w:cs="Arial"/>
                <w:sz w:val="22"/>
              </w:rPr>
              <w:t>Creșterea performanței administrației publice</w:t>
            </w:r>
          </w:p>
        </w:tc>
        <w:tc>
          <w:tcPr>
            <w:tcW w:w="1350" w:type="dxa"/>
          </w:tcPr>
          <w:p w14:paraId="25AFE0C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674F0DE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37449461">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5CFD1013">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735E83A3">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0BED0326">
            <w:pPr>
              <w:spacing w:line="276" w:lineRule="auto"/>
              <w:rPr>
                <w:rFonts w:cs="Arial"/>
                <w:sz w:val="22"/>
              </w:rPr>
            </w:pPr>
            <w:r>
              <w:rPr>
                <w:rFonts w:cs="Arial"/>
                <w:sz w:val="22"/>
              </w:rPr>
              <w:t>x</w:t>
            </w:r>
          </w:p>
        </w:tc>
        <w:tc>
          <w:tcPr>
            <w:tcW w:w="734" w:type="dxa"/>
          </w:tcPr>
          <w:p w14:paraId="1E9E70BE">
            <w:pPr>
              <w:tabs>
                <w:tab w:val="left" w:pos="1848"/>
              </w:tabs>
              <w:spacing w:line="276" w:lineRule="auto"/>
              <w:rPr>
                <w:rFonts w:cs="Arial"/>
                <w:sz w:val="22"/>
              </w:rPr>
            </w:pPr>
            <w:r>
              <w:rPr>
                <w:rFonts w:cs="Arial"/>
                <w:sz w:val="22"/>
                <w:lang w:val="ro-RO"/>
              </w:rPr>
              <w:t>xx</w:t>
            </w:r>
          </w:p>
        </w:tc>
      </w:tr>
      <w:tr w14:paraId="29A2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09484199">
            <w:pPr>
              <w:spacing w:line="276" w:lineRule="auto"/>
              <w:rPr>
                <w:rFonts w:cs="Arial"/>
                <w:sz w:val="22"/>
              </w:rPr>
            </w:pPr>
            <w:r>
              <w:rPr>
                <w:rFonts w:cs="Arial"/>
                <w:sz w:val="22"/>
              </w:rPr>
              <w:t>566</w:t>
            </w:r>
          </w:p>
        </w:tc>
        <w:tc>
          <w:tcPr>
            <w:tcW w:w="3330" w:type="dxa"/>
          </w:tcPr>
          <w:p w14:paraId="34094AA6">
            <w:pPr>
              <w:tabs>
                <w:tab w:val="left" w:pos="1461"/>
              </w:tabs>
              <w:spacing w:line="276" w:lineRule="auto"/>
              <w:ind w:firstLine="0"/>
              <w:jc w:val="left"/>
              <w:rPr>
                <w:rFonts w:eastAsia="Times New Roman" w:cs="Arial"/>
                <w:color w:val="000000"/>
                <w:sz w:val="22"/>
              </w:rPr>
            </w:pPr>
            <w:r>
              <w:rPr>
                <w:rFonts w:eastAsia="Times New Roman" w:cs="Arial"/>
                <w:color w:val="000000"/>
                <w:sz w:val="22"/>
              </w:rPr>
              <w:t>Organizarea de dezbateri la nivel local pentru asigurarea formulării unor politici publice adecvate pentru interesul cetățenilor</w:t>
            </w:r>
          </w:p>
        </w:tc>
        <w:tc>
          <w:tcPr>
            <w:tcW w:w="2790" w:type="dxa"/>
          </w:tcPr>
          <w:p w14:paraId="63818164">
            <w:pPr>
              <w:ind w:firstLine="0"/>
              <w:rPr>
                <w:rFonts w:cs="Arial"/>
                <w:sz w:val="22"/>
              </w:rPr>
            </w:pPr>
            <w:r>
              <w:rPr>
                <w:rFonts w:cs="Arial"/>
                <w:sz w:val="22"/>
              </w:rPr>
              <w:t>Creșterea performanței administrației publice</w:t>
            </w:r>
          </w:p>
        </w:tc>
        <w:tc>
          <w:tcPr>
            <w:tcW w:w="1350" w:type="dxa"/>
          </w:tcPr>
          <w:p w14:paraId="1A13DAE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06C27F2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7A4DD748">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1748CBF6">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5EC557EF">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53CB552C">
            <w:pPr>
              <w:spacing w:line="276" w:lineRule="auto"/>
              <w:rPr>
                <w:rFonts w:cs="Arial"/>
                <w:sz w:val="22"/>
              </w:rPr>
            </w:pPr>
            <w:r>
              <w:rPr>
                <w:rFonts w:cs="Arial"/>
                <w:sz w:val="22"/>
              </w:rPr>
              <w:t>x</w:t>
            </w:r>
          </w:p>
        </w:tc>
        <w:tc>
          <w:tcPr>
            <w:tcW w:w="734" w:type="dxa"/>
          </w:tcPr>
          <w:p w14:paraId="3A8F61A9">
            <w:pPr>
              <w:tabs>
                <w:tab w:val="left" w:pos="1848"/>
              </w:tabs>
              <w:spacing w:line="276" w:lineRule="auto"/>
              <w:rPr>
                <w:rFonts w:cs="Arial"/>
                <w:sz w:val="22"/>
              </w:rPr>
            </w:pPr>
            <w:r>
              <w:rPr>
                <w:rFonts w:cs="Arial"/>
                <w:sz w:val="22"/>
                <w:lang w:val="ro-RO"/>
              </w:rPr>
              <w:t>xx</w:t>
            </w:r>
          </w:p>
        </w:tc>
      </w:tr>
      <w:tr w14:paraId="6FB4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61FC0185">
            <w:pPr>
              <w:tabs>
                <w:tab w:val="left" w:pos="1461"/>
              </w:tabs>
              <w:spacing w:line="276" w:lineRule="auto"/>
              <w:ind w:firstLine="0"/>
              <w:jc w:val="left"/>
              <w:rPr>
                <w:rFonts w:eastAsia="Times New Roman" w:cs="Arial"/>
                <w:color w:val="000000"/>
                <w:sz w:val="22"/>
              </w:rPr>
            </w:pPr>
            <w:r>
              <w:rPr>
                <w:rFonts w:eastAsia="Times New Roman" w:cs="Arial"/>
                <w:color w:val="000000"/>
                <w:sz w:val="22"/>
              </w:rPr>
              <w:t>67</w:t>
            </w:r>
          </w:p>
        </w:tc>
        <w:tc>
          <w:tcPr>
            <w:tcW w:w="3330" w:type="dxa"/>
          </w:tcPr>
          <w:p w14:paraId="1BD3350B">
            <w:pPr>
              <w:tabs>
                <w:tab w:val="left" w:pos="1461"/>
              </w:tabs>
              <w:spacing w:line="276" w:lineRule="auto"/>
              <w:ind w:firstLine="0"/>
              <w:jc w:val="left"/>
              <w:rPr>
                <w:rFonts w:eastAsia="Times New Roman" w:cs="Arial"/>
                <w:color w:val="000000"/>
                <w:sz w:val="22"/>
              </w:rPr>
            </w:pPr>
            <w:r>
              <w:rPr>
                <w:rFonts w:eastAsia="Times New Roman" w:cs="Arial"/>
                <w:color w:val="000000"/>
                <w:sz w:val="22"/>
              </w:rPr>
              <w:t>Implementare program informatic pentru registrul agricol; contabilitate; asistență socială</w:t>
            </w:r>
          </w:p>
        </w:tc>
        <w:tc>
          <w:tcPr>
            <w:tcW w:w="2790" w:type="dxa"/>
          </w:tcPr>
          <w:p w14:paraId="10A6A5CA">
            <w:pPr>
              <w:ind w:firstLine="0"/>
              <w:rPr>
                <w:rFonts w:cs="Arial"/>
                <w:sz w:val="22"/>
              </w:rPr>
            </w:pPr>
            <w:r>
              <w:rPr>
                <w:rFonts w:cs="Arial"/>
                <w:sz w:val="22"/>
              </w:rPr>
              <w:t>Creșterea performanței administrației publice</w:t>
            </w:r>
          </w:p>
        </w:tc>
        <w:tc>
          <w:tcPr>
            <w:tcW w:w="1350" w:type="dxa"/>
          </w:tcPr>
          <w:p w14:paraId="07DD794D">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5683373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6432F219">
            <w:pPr>
              <w:tabs>
                <w:tab w:val="left" w:pos="1848"/>
              </w:tabs>
              <w:spacing w:line="276" w:lineRule="auto"/>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117EA05F">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41DB1695">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0CFE2334">
            <w:pPr>
              <w:spacing w:line="276" w:lineRule="auto"/>
              <w:rPr>
                <w:rFonts w:cs="Arial"/>
                <w:sz w:val="22"/>
              </w:rPr>
            </w:pPr>
            <w:r>
              <w:rPr>
                <w:rFonts w:cs="Arial"/>
                <w:sz w:val="22"/>
              </w:rPr>
              <w:t>x</w:t>
            </w:r>
          </w:p>
        </w:tc>
        <w:tc>
          <w:tcPr>
            <w:tcW w:w="734" w:type="dxa"/>
          </w:tcPr>
          <w:p w14:paraId="0C9949E6">
            <w:pPr>
              <w:tabs>
                <w:tab w:val="left" w:pos="1848"/>
              </w:tabs>
              <w:spacing w:line="276" w:lineRule="auto"/>
              <w:rPr>
                <w:rFonts w:cs="Arial"/>
                <w:sz w:val="22"/>
              </w:rPr>
            </w:pPr>
            <w:r>
              <w:rPr>
                <w:rFonts w:cs="Arial"/>
                <w:sz w:val="22"/>
                <w:lang w:val="ro-RO"/>
              </w:rPr>
              <w:t>xx</w:t>
            </w:r>
          </w:p>
        </w:tc>
      </w:tr>
      <w:tr w14:paraId="2ED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8993040">
            <w:pPr>
              <w:tabs>
                <w:tab w:val="left" w:pos="1461"/>
              </w:tabs>
              <w:spacing w:line="276" w:lineRule="auto"/>
              <w:ind w:firstLine="0"/>
              <w:jc w:val="left"/>
              <w:rPr>
                <w:rFonts w:eastAsia="Times New Roman" w:cs="Arial"/>
                <w:color w:val="000000"/>
                <w:sz w:val="22"/>
              </w:rPr>
            </w:pPr>
            <w:r>
              <w:rPr>
                <w:rFonts w:eastAsia="Times New Roman" w:cs="Arial"/>
                <w:color w:val="000000"/>
                <w:sz w:val="22"/>
              </w:rPr>
              <w:t>68</w:t>
            </w:r>
          </w:p>
        </w:tc>
        <w:tc>
          <w:tcPr>
            <w:tcW w:w="3330" w:type="dxa"/>
          </w:tcPr>
          <w:p w14:paraId="07DCE357">
            <w:pPr>
              <w:tabs>
                <w:tab w:val="left" w:pos="1461"/>
              </w:tabs>
              <w:spacing w:line="276" w:lineRule="auto"/>
              <w:ind w:firstLine="0"/>
              <w:jc w:val="left"/>
              <w:rPr>
                <w:rFonts w:eastAsia="Times New Roman" w:cs="Arial"/>
                <w:color w:val="000000"/>
                <w:sz w:val="22"/>
              </w:rPr>
            </w:pPr>
            <w:r>
              <w:rPr>
                <w:rFonts w:eastAsia="Times New Roman" w:cs="Arial"/>
                <w:color w:val="000000"/>
                <w:sz w:val="22"/>
              </w:rPr>
              <w:t>Instruirea personalului din cadrul direcției de taxe si impozite locală, în vederea eficientizării colectării taxelor si impozitelor și din celelalte compartimemte ale primăriei</w:t>
            </w:r>
          </w:p>
        </w:tc>
        <w:tc>
          <w:tcPr>
            <w:tcW w:w="2790" w:type="dxa"/>
          </w:tcPr>
          <w:p w14:paraId="400A3D26">
            <w:pPr>
              <w:ind w:firstLine="0"/>
              <w:rPr>
                <w:rFonts w:cs="Arial"/>
                <w:sz w:val="22"/>
              </w:rPr>
            </w:pPr>
            <w:r>
              <w:rPr>
                <w:rFonts w:cs="Arial"/>
                <w:sz w:val="22"/>
              </w:rPr>
              <w:t>Creșterea performanței administrației publice Creșterea performanței administrației publice</w:t>
            </w:r>
          </w:p>
        </w:tc>
        <w:tc>
          <w:tcPr>
            <w:tcW w:w="1350" w:type="dxa"/>
          </w:tcPr>
          <w:p w14:paraId="50DA2449">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5BAEF3A3">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63D8ABA7">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0A3DFF23">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0771908C">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2AC3127E">
            <w:pPr>
              <w:spacing w:line="276" w:lineRule="auto"/>
              <w:rPr>
                <w:rFonts w:cs="Arial"/>
                <w:sz w:val="22"/>
              </w:rPr>
            </w:pPr>
            <w:r>
              <w:rPr>
                <w:rFonts w:cs="Arial"/>
                <w:sz w:val="22"/>
              </w:rPr>
              <w:t>x</w:t>
            </w:r>
          </w:p>
        </w:tc>
        <w:tc>
          <w:tcPr>
            <w:tcW w:w="734" w:type="dxa"/>
          </w:tcPr>
          <w:p w14:paraId="18A93821">
            <w:pPr>
              <w:tabs>
                <w:tab w:val="left" w:pos="1848"/>
              </w:tabs>
              <w:spacing w:line="276" w:lineRule="auto"/>
              <w:rPr>
                <w:rFonts w:cs="Arial"/>
                <w:sz w:val="22"/>
              </w:rPr>
            </w:pPr>
            <w:r>
              <w:rPr>
                <w:rFonts w:cs="Arial"/>
                <w:sz w:val="22"/>
                <w:lang w:val="ro-RO"/>
              </w:rPr>
              <w:t>xx</w:t>
            </w:r>
          </w:p>
        </w:tc>
      </w:tr>
      <w:tr w14:paraId="62D5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35" w:type="dxa"/>
          </w:tcPr>
          <w:p w14:paraId="5907B551">
            <w:pPr>
              <w:tabs>
                <w:tab w:val="left" w:pos="1461"/>
              </w:tabs>
              <w:spacing w:line="276" w:lineRule="auto"/>
              <w:ind w:firstLine="0"/>
              <w:jc w:val="left"/>
              <w:rPr>
                <w:rFonts w:eastAsia="Times New Roman" w:cs="Arial"/>
                <w:color w:val="000000"/>
                <w:sz w:val="22"/>
              </w:rPr>
            </w:pPr>
            <w:r>
              <w:rPr>
                <w:rFonts w:eastAsia="Times New Roman" w:cs="Arial"/>
                <w:color w:val="000000"/>
                <w:sz w:val="22"/>
              </w:rPr>
              <w:t>69</w:t>
            </w:r>
          </w:p>
        </w:tc>
        <w:tc>
          <w:tcPr>
            <w:tcW w:w="3330" w:type="dxa"/>
          </w:tcPr>
          <w:p w14:paraId="42F6F5BD">
            <w:pPr>
              <w:tabs>
                <w:tab w:val="left" w:pos="1461"/>
              </w:tabs>
              <w:spacing w:line="276" w:lineRule="auto"/>
              <w:ind w:firstLine="0"/>
              <w:jc w:val="left"/>
              <w:rPr>
                <w:rFonts w:eastAsia="Times New Roman" w:cs="Arial"/>
                <w:color w:val="000000"/>
                <w:sz w:val="22"/>
              </w:rPr>
            </w:pPr>
            <w:r>
              <w:rPr>
                <w:rFonts w:eastAsia="Times New Roman" w:cs="Arial"/>
                <w:color w:val="000000"/>
                <w:sz w:val="22"/>
              </w:rPr>
              <w:t xml:space="preserve">Realizarea unei reţele de </w:t>
            </w:r>
          </w:p>
          <w:p w14:paraId="173E2855">
            <w:pPr>
              <w:tabs>
                <w:tab w:val="left" w:pos="1461"/>
              </w:tabs>
              <w:spacing w:line="276" w:lineRule="auto"/>
              <w:ind w:firstLine="0"/>
              <w:jc w:val="left"/>
              <w:rPr>
                <w:rFonts w:eastAsia="Times New Roman" w:cs="Arial"/>
                <w:color w:val="000000"/>
                <w:sz w:val="22"/>
              </w:rPr>
            </w:pPr>
            <w:r>
              <w:rPr>
                <w:rFonts w:eastAsia="Times New Roman" w:cs="Arial"/>
                <w:color w:val="000000"/>
                <w:sz w:val="22"/>
              </w:rPr>
              <w:t>comunicaţii pe internet între principalele instituţii ale comunei</w:t>
            </w:r>
          </w:p>
          <w:p w14:paraId="17C3D81E">
            <w:pPr>
              <w:tabs>
                <w:tab w:val="left" w:pos="1461"/>
              </w:tabs>
              <w:spacing w:line="276" w:lineRule="auto"/>
              <w:ind w:firstLine="0"/>
              <w:jc w:val="left"/>
              <w:rPr>
                <w:rFonts w:eastAsia="Times New Roman" w:cs="Arial"/>
                <w:color w:val="000000"/>
                <w:sz w:val="22"/>
              </w:rPr>
            </w:pPr>
            <w:r>
              <w:rPr>
                <w:rFonts w:eastAsia="Times New Roman" w:cs="Arial"/>
                <w:color w:val="000000"/>
                <w:sz w:val="22"/>
              </w:rPr>
              <w:t>Înființarea centrului PAPI (punctul de acces public la informații) și telecentru</w:t>
            </w:r>
          </w:p>
        </w:tc>
        <w:tc>
          <w:tcPr>
            <w:tcW w:w="2790" w:type="dxa"/>
          </w:tcPr>
          <w:p w14:paraId="4F46BBC2">
            <w:pPr>
              <w:ind w:firstLine="0"/>
              <w:rPr>
                <w:rFonts w:cs="Arial"/>
                <w:sz w:val="22"/>
              </w:rPr>
            </w:pPr>
            <w:r>
              <w:rPr>
                <w:rFonts w:cs="Arial"/>
                <w:sz w:val="22"/>
              </w:rPr>
              <w:t>Creșterea performanței administrației publice</w:t>
            </w:r>
          </w:p>
        </w:tc>
        <w:tc>
          <w:tcPr>
            <w:tcW w:w="1350" w:type="dxa"/>
          </w:tcPr>
          <w:p w14:paraId="4EEAB02E">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Finantari nerambursabile externe</w:t>
            </w:r>
          </w:p>
          <w:p w14:paraId="1C75AC88">
            <w:pPr>
              <w:tabs>
                <w:tab w:val="left" w:pos="1848"/>
              </w:tabs>
              <w:spacing w:line="276" w:lineRule="auto"/>
              <w:ind w:firstLine="0"/>
              <w:jc w:val="left"/>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Fonduri guvernamentale</w:t>
            </w:r>
          </w:p>
          <w:p w14:paraId="679DD88B">
            <w:pPr>
              <w:tabs>
                <w:tab w:val="left" w:pos="1848"/>
              </w:tabs>
              <w:spacing w:line="276" w:lineRule="auto"/>
              <w:ind w:firstLine="0"/>
              <w:rPr>
                <w:rFonts w:cs="Arial"/>
                <w:color w:val="000000" w:themeColor="text1"/>
                <w:sz w:val="22"/>
                <w:lang w:val="ro-RO"/>
                <w14:textFill>
                  <w14:solidFill>
                    <w14:schemeClr w14:val="tx1"/>
                  </w14:solidFill>
                </w14:textFill>
              </w:rPr>
            </w:pPr>
            <w:r>
              <w:rPr>
                <w:rFonts w:cs="Arial"/>
                <w:color w:val="000000" w:themeColor="text1"/>
                <w:sz w:val="22"/>
                <w:lang w:val="ro-RO"/>
                <w14:textFill>
                  <w14:solidFill>
                    <w14:schemeClr w14:val="tx1"/>
                  </w14:solidFill>
                </w14:textFill>
              </w:rPr>
              <w:t>Alte surse</w:t>
            </w:r>
          </w:p>
        </w:tc>
        <w:tc>
          <w:tcPr>
            <w:tcW w:w="1170" w:type="dxa"/>
          </w:tcPr>
          <w:p w14:paraId="2D8928E2">
            <w:pPr>
              <w:spacing w:line="276" w:lineRule="auto"/>
              <w:ind w:firstLine="0"/>
              <w:rPr>
                <w:rFonts w:cs="Arial"/>
                <w:sz w:val="22"/>
              </w:rPr>
            </w:pPr>
            <w:r>
              <w:rPr>
                <w:rFonts w:cs="Arial"/>
                <w:color w:val="000000" w:themeColor="text1"/>
                <w:sz w:val="22"/>
                <w:lang w:val="ro-RO"/>
                <w14:textFill>
                  <w14:solidFill>
                    <w14:schemeClr w14:val="tx1"/>
                  </w14:solidFill>
                </w14:textFill>
              </w:rPr>
              <w:t>Idee de proiect</w:t>
            </w:r>
          </w:p>
        </w:tc>
        <w:tc>
          <w:tcPr>
            <w:tcW w:w="1026" w:type="dxa"/>
          </w:tcPr>
          <w:p w14:paraId="01F23E85">
            <w:pPr>
              <w:spacing w:line="276" w:lineRule="auto"/>
              <w:ind w:firstLine="0"/>
              <w:rPr>
                <w:rFonts w:cs="Arial"/>
                <w:sz w:val="22"/>
              </w:rPr>
            </w:pPr>
            <w:r>
              <w:rPr>
                <w:rFonts w:cs="Arial"/>
                <w:color w:val="000000" w:themeColor="text1"/>
                <w:sz w:val="22"/>
                <w:lang w:val="ro-RO"/>
                <w14:textFill>
                  <w14:solidFill>
                    <w14:schemeClr w14:val="tx1"/>
                  </w14:solidFill>
                </w14:textFill>
              </w:rPr>
              <w:t>2027</w:t>
            </w:r>
          </w:p>
        </w:tc>
        <w:tc>
          <w:tcPr>
            <w:tcW w:w="684" w:type="dxa"/>
          </w:tcPr>
          <w:p w14:paraId="455534AE">
            <w:pPr>
              <w:spacing w:line="276" w:lineRule="auto"/>
              <w:rPr>
                <w:rFonts w:cs="Arial"/>
                <w:sz w:val="22"/>
              </w:rPr>
            </w:pPr>
            <w:r>
              <w:rPr>
                <w:rFonts w:cs="Arial"/>
                <w:sz w:val="22"/>
              </w:rPr>
              <w:t>x</w:t>
            </w:r>
          </w:p>
        </w:tc>
        <w:tc>
          <w:tcPr>
            <w:tcW w:w="734" w:type="dxa"/>
          </w:tcPr>
          <w:p w14:paraId="70D2D22C">
            <w:pPr>
              <w:tabs>
                <w:tab w:val="left" w:pos="1848"/>
              </w:tabs>
              <w:spacing w:line="276" w:lineRule="auto"/>
              <w:rPr>
                <w:rFonts w:cs="Arial"/>
                <w:sz w:val="22"/>
              </w:rPr>
            </w:pPr>
            <w:r>
              <w:rPr>
                <w:rFonts w:cs="Arial"/>
                <w:sz w:val="22"/>
                <w:lang w:val="ro-RO"/>
              </w:rPr>
              <w:t>xx</w:t>
            </w:r>
          </w:p>
        </w:tc>
      </w:tr>
    </w:tbl>
    <w:p w14:paraId="2CF7305F">
      <w:pPr>
        <w:jc w:val="center"/>
        <w:rPr>
          <w:rFonts w:cs="Arial"/>
          <w:b/>
          <w:bCs/>
          <w:sz w:val="22"/>
        </w:rPr>
      </w:pPr>
    </w:p>
    <w:p w14:paraId="14BD07C0">
      <w:pPr>
        <w:jc w:val="center"/>
        <w:rPr>
          <w:rFonts w:cs="Arial"/>
          <w:b/>
          <w:bCs/>
          <w:sz w:val="22"/>
        </w:rPr>
      </w:pPr>
    </w:p>
    <w:p w14:paraId="333B9984">
      <w:pPr>
        <w:jc w:val="center"/>
        <w:rPr>
          <w:rFonts w:cs="Arial"/>
          <w:b/>
          <w:bCs/>
          <w:sz w:val="22"/>
        </w:rPr>
      </w:pPr>
    </w:p>
    <w:p w14:paraId="0A0037ED">
      <w:pPr>
        <w:ind w:firstLine="0"/>
        <w:jc w:val="center"/>
        <w:rPr>
          <w:rFonts w:cs="Arial"/>
          <w:b/>
          <w:bCs/>
          <w:sz w:val="22"/>
        </w:rPr>
      </w:pPr>
    </w:p>
    <w:p w14:paraId="67990746">
      <w:pPr>
        <w:tabs>
          <w:tab w:val="left" w:pos="3069"/>
        </w:tabs>
        <w:ind w:firstLine="0"/>
        <w:rPr>
          <w:rFonts w:cs="Arial"/>
          <w:sz w:val="22"/>
        </w:rPr>
        <w:sectPr>
          <w:pgSz w:w="16839" w:h="11907" w:orient="landscape"/>
          <w:pgMar w:top="1134" w:right="1701" w:bottom="1134" w:left="1701" w:header="709" w:footer="284" w:gutter="0"/>
          <w:cols w:space="708" w:num="1"/>
          <w:docGrid w:linePitch="360" w:charSpace="0"/>
        </w:sectPr>
      </w:pPr>
    </w:p>
    <w:p w14:paraId="3F174422">
      <w:pPr>
        <w:ind w:firstLine="0"/>
        <w:rPr>
          <w:rFonts w:cs="Arial"/>
          <w:sz w:val="22"/>
        </w:rPr>
      </w:pPr>
    </w:p>
    <w:p w14:paraId="393295FF">
      <w:pPr>
        <w:tabs>
          <w:tab w:val="left" w:pos="2208"/>
        </w:tabs>
        <w:ind w:firstLine="0"/>
        <w:rPr>
          <w:rFonts w:cs="Arial"/>
          <w:b/>
          <w:bCs/>
          <w:sz w:val="22"/>
        </w:rPr>
      </w:pPr>
      <w:r>
        <w:rPr>
          <w:rFonts w:cs="Arial"/>
          <w:b/>
          <w:bCs/>
          <w:sz w:val="22"/>
        </w:rPr>
        <w:t>Lista de operațiuni prioritizate</w:t>
      </w:r>
    </w:p>
    <w:p w14:paraId="64B13572">
      <w:pPr>
        <w:kinsoku w:val="0"/>
        <w:overflowPunct w:val="0"/>
        <w:autoSpaceDE w:val="0"/>
        <w:autoSpaceDN w:val="0"/>
        <w:adjustRightInd w:val="0"/>
        <w:rPr>
          <w:rFonts w:cs="Arial"/>
          <w:sz w:val="22"/>
        </w:rPr>
      </w:pPr>
      <w:r>
        <w:rPr>
          <w:rFonts w:cs="Arial"/>
          <w:sz w:val="22"/>
        </w:rPr>
        <w:t>În cele ce urmeazaă, este prezentată lista de operațiuni (proiecte) prioritizate din cadrul SDL, ce urmează să fie aprobată prin HCL, pentru care a fost identificata ca sursa de finanțare PR SV Oltenia 2021-2027.</w:t>
      </w:r>
    </w:p>
    <w:p w14:paraId="7D5C4022">
      <w:pPr>
        <w:kinsoku w:val="0"/>
        <w:overflowPunct w:val="0"/>
        <w:autoSpaceDE w:val="0"/>
        <w:autoSpaceDN w:val="0"/>
        <w:adjustRightInd w:val="0"/>
        <w:spacing w:line="240" w:lineRule="auto"/>
        <w:rPr>
          <w:rFonts w:cs="Arial"/>
          <w:sz w:val="22"/>
        </w:rPr>
      </w:pPr>
    </w:p>
    <w:p w14:paraId="571563DE">
      <w:pPr>
        <w:tabs>
          <w:tab w:val="left" w:pos="1663"/>
        </w:tabs>
        <w:jc w:val="center"/>
        <w:rPr>
          <w:rFonts w:cs="Arial"/>
          <w:sz w:val="22"/>
        </w:rPr>
      </w:pPr>
    </w:p>
    <w:p w14:paraId="6AA51DBA">
      <w:pPr>
        <w:tabs>
          <w:tab w:val="left" w:pos="1663"/>
        </w:tabs>
        <w:jc w:val="center"/>
        <w:rPr>
          <w:rFonts w:cs="Arial"/>
          <w:b/>
          <w:bCs/>
          <w:sz w:val="22"/>
        </w:rPr>
      </w:pPr>
      <w:r>
        <w:rPr>
          <w:rFonts w:cs="Arial"/>
          <w:b/>
          <w:bCs/>
          <w:sz w:val="22"/>
        </w:rPr>
        <w:t>FIȘE DE PROIECT – COMUNA ȘIMIAN</w:t>
      </w:r>
      <w:r>
        <w:rPr>
          <w:rFonts w:cs="Arial"/>
          <w:b/>
          <w:bCs/>
          <w:sz w:val="22"/>
        </w:rPr>
        <w:br w:type="textWrapping"/>
      </w:r>
    </w:p>
    <w:p w14:paraId="5B725FDB">
      <w:pPr>
        <w:tabs>
          <w:tab w:val="left" w:pos="1848"/>
        </w:tabs>
        <w:spacing w:line="276" w:lineRule="auto"/>
        <w:jc w:val="center"/>
        <w:rPr>
          <w:rFonts w:cs="Arial"/>
          <w:b/>
          <w:bCs/>
          <w:color w:val="0070C0"/>
          <w:sz w:val="22"/>
        </w:rPr>
      </w:pPr>
      <w:r>
        <w:rPr>
          <w:rFonts w:cs="Arial"/>
          <w:b/>
          <w:bCs/>
          <w:color w:val="0070C0"/>
          <w:sz w:val="22"/>
        </w:rPr>
        <w:t>OBIECTIVUL STRATEGIC NR. XX - NUME</w:t>
      </w:r>
    </w:p>
    <w:p w14:paraId="4DD434FE">
      <w:pPr>
        <w:tabs>
          <w:tab w:val="left" w:pos="1848"/>
        </w:tabs>
        <w:spacing w:line="276" w:lineRule="auto"/>
        <w:jc w:val="center"/>
        <w:rPr>
          <w:rFonts w:cs="Arial"/>
          <w:sz w:val="22"/>
        </w:rPr>
      </w:pPr>
    </w:p>
    <w:tbl>
      <w:tblPr>
        <w:tblStyle w:val="12"/>
        <w:tblW w:w="9323" w:type="dxa"/>
        <w:tblInd w:w="111" w:type="dxa"/>
        <w:tblLayout w:type="fixed"/>
        <w:tblCellMar>
          <w:top w:w="0" w:type="dxa"/>
          <w:left w:w="0" w:type="dxa"/>
          <w:bottom w:w="0" w:type="dxa"/>
          <w:right w:w="0" w:type="dxa"/>
        </w:tblCellMar>
      </w:tblPr>
      <w:tblGrid>
        <w:gridCol w:w="535"/>
        <w:gridCol w:w="4736"/>
        <w:gridCol w:w="4052"/>
      </w:tblGrid>
      <w:tr w14:paraId="0F58D134">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6101C558">
            <w:pPr>
              <w:kinsoku w:val="0"/>
              <w:overflowPunct w:val="0"/>
              <w:autoSpaceDE w:val="0"/>
              <w:autoSpaceDN w:val="0"/>
              <w:adjustRightInd w:val="0"/>
              <w:spacing w:line="276" w:lineRule="auto"/>
              <w:ind w:left="107"/>
              <w:rPr>
                <w:rFonts w:cs="Arial"/>
                <w:sz w:val="22"/>
              </w:rPr>
            </w:pPr>
            <w:bookmarkStart w:id="98" w:name="_Hlk179286080"/>
            <w:r>
              <w:rPr>
                <w:rFonts w:cs="Arial"/>
                <w:sz w:val="22"/>
              </w:rPr>
              <w:t>11</w:t>
            </w:r>
          </w:p>
        </w:tc>
        <w:tc>
          <w:tcPr>
            <w:tcW w:w="4736" w:type="dxa"/>
            <w:tcBorders>
              <w:top w:val="single" w:color="000000" w:sz="4" w:space="0"/>
              <w:left w:val="single" w:color="000000" w:sz="4" w:space="0"/>
              <w:bottom w:val="single" w:color="000000" w:sz="4" w:space="0"/>
              <w:right w:val="single" w:color="000000" w:sz="4" w:space="0"/>
            </w:tcBorders>
          </w:tcPr>
          <w:p w14:paraId="1BFCAF57">
            <w:pPr>
              <w:kinsoku w:val="0"/>
              <w:overflowPunct w:val="0"/>
              <w:autoSpaceDE w:val="0"/>
              <w:autoSpaceDN w:val="0"/>
              <w:adjustRightInd w:val="0"/>
              <w:spacing w:line="276" w:lineRule="auto"/>
              <w:ind w:left="105"/>
              <w:rPr>
                <w:rFonts w:cs="Arial"/>
                <w:b/>
                <w:bCs/>
                <w:sz w:val="22"/>
              </w:rPr>
            </w:pPr>
            <w:r>
              <w:rPr>
                <w:rFonts w:cs="Arial"/>
                <w:b/>
                <w:bCs/>
                <w:sz w:val="22"/>
              </w:rPr>
              <w:t>Titlul proiectului</w:t>
            </w:r>
          </w:p>
        </w:tc>
        <w:tc>
          <w:tcPr>
            <w:tcW w:w="4052" w:type="dxa"/>
            <w:tcBorders>
              <w:top w:val="single" w:color="000000" w:sz="4" w:space="0"/>
              <w:left w:val="single" w:color="000000" w:sz="4" w:space="0"/>
              <w:bottom w:val="single" w:color="000000" w:sz="4" w:space="0"/>
              <w:right w:val="single" w:color="000000" w:sz="4" w:space="0"/>
            </w:tcBorders>
          </w:tcPr>
          <w:p w14:paraId="60434271">
            <w:pPr>
              <w:tabs>
                <w:tab w:val="left" w:pos="1461"/>
              </w:tabs>
              <w:spacing w:line="276" w:lineRule="auto"/>
              <w:rPr>
                <w:rFonts w:cs="Arial"/>
                <w:b/>
                <w:bCs/>
                <w:sz w:val="22"/>
              </w:rPr>
            </w:pPr>
          </w:p>
        </w:tc>
      </w:tr>
      <w:tr w14:paraId="7EB5D650">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5D5E7DCC">
            <w:pPr>
              <w:kinsoku w:val="0"/>
              <w:overflowPunct w:val="0"/>
              <w:autoSpaceDE w:val="0"/>
              <w:autoSpaceDN w:val="0"/>
              <w:adjustRightInd w:val="0"/>
              <w:spacing w:line="276" w:lineRule="auto"/>
              <w:ind w:left="107"/>
              <w:rPr>
                <w:rFonts w:cs="Arial"/>
                <w:sz w:val="22"/>
              </w:rPr>
            </w:pPr>
            <w:r>
              <w:rPr>
                <w:rFonts w:cs="Arial"/>
                <w:sz w:val="22"/>
              </w:rPr>
              <w:t>.2</w:t>
            </w:r>
          </w:p>
        </w:tc>
        <w:tc>
          <w:tcPr>
            <w:tcW w:w="4736" w:type="dxa"/>
            <w:tcBorders>
              <w:top w:val="single" w:color="000000" w:sz="4" w:space="0"/>
              <w:left w:val="single" w:color="000000" w:sz="4" w:space="0"/>
              <w:bottom w:val="single" w:color="000000" w:sz="4" w:space="0"/>
              <w:right w:val="single" w:color="000000" w:sz="4" w:space="0"/>
            </w:tcBorders>
          </w:tcPr>
          <w:p w14:paraId="0D0CE702">
            <w:pPr>
              <w:kinsoku w:val="0"/>
              <w:overflowPunct w:val="0"/>
              <w:autoSpaceDE w:val="0"/>
              <w:autoSpaceDN w:val="0"/>
              <w:adjustRightInd w:val="0"/>
              <w:spacing w:line="276" w:lineRule="auto"/>
              <w:ind w:firstLine="0"/>
              <w:rPr>
                <w:rFonts w:cs="Arial"/>
                <w:sz w:val="22"/>
              </w:rPr>
            </w:pPr>
            <w:r>
              <w:rPr>
                <w:rFonts w:cs="Arial"/>
                <w:sz w:val="22"/>
              </w:rPr>
              <w:t>Beneficiarul proiectului/ Parteneri</w:t>
            </w:r>
          </w:p>
        </w:tc>
        <w:tc>
          <w:tcPr>
            <w:tcW w:w="4052" w:type="dxa"/>
            <w:tcBorders>
              <w:top w:val="single" w:color="000000" w:sz="4" w:space="0"/>
              <w:left w:val="single" w:color="000000" w:sz="4" w:space="0"/>
              <w:bottom w:val="single" w:color="000000" w:sz="4" w:space="0"/>
              <w:right w:val="single" w:color="000000" w:sz="4" w:space="0"/>
            </w:tcBorders>
          </w:tcPr>
          <w:p w14:paraId="430700C8">
            <w:pPr>
              <w:kinsoku w:val="0"/>
              <w:overflowPunct w:val="0"/>
              <w:autoSpaceDE w:val="0"/>
              <w:autoSpaceDN w:val="0"/>
              <w:adjustRightInd w:val="0"/>
              <w:spacing w:line="276" w:lineRule="auto"/>
              <w:rPr>
                <w:rFonts w:cs="Arial"/>
                <w:sz w:val="22"/>
              </w:rPr>
            </w:pPr>
          </w:p>
        </w:tc>
      </w:tr>
      <w:tr w14:paraId="625CC5D7">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20EBBD37">
            <w:pPr>
              <w:kinsoku w:val="0"/>
              <w:overflowPunct w:val="0"/>
              <w:autoSpaceDE w:val="0"/>
              <w:autoSpaceDN w:val="0"/>
              <w:adjustRightInd w:val="0"/>
              <w:spacing w:line="276" w:lineRule="auto"/>
              <w:ind w:left="107"/>
              <w:rPr>
                <w:rFonts w:cs="Arial"/>
                <w:sz w:val="22"/>
              </w:rPr>
            </w:pPr>
            <w:r>
              <w:rPr>
                <w:rFonts w:cs="Arial"/>
                <w:sz w:val="22"/>
              </w:rPr>
              <w:t>33</w:t>
            </w:r>
          </w:p>
        </w:tc>
        <w:tc>
          <w:tcPr>
            <w:tcW w:w="4736" w:type="dxa"/>
            <w:tcBorders>
              <w:top w:val="single" w:color="000000" w:sz="4" w:space="0"/>
              <w:left w:val="single" w:color="000000" w:sz="4" w:space="0"/>
              <w:bottom w:val="single" w:color="000000" w:sz="4" w:space="0"/>
              <w:right w:val="single" w:color="000000" w:sz="4" w:space="0"/>
            </w:tcBorders>
          </w:tcPr>
          <w:p w14:paraId="77116A4A">
            <w:pPr>
              <w:kinsoku w:val="0"/>
              <w:overflowPunct w:val="0"/>
              <w:autoSpaceDE w:val="0"/>
              <w:autoSpaceDN w:val="0"/>
              <w:adjustRightInd w:val="0"/>
              <w:spacing w:line="276" w:lineRule="auto"/>
              <w:ind w:left="105" w:firstLine="0"/>
              <w:rPr>
                <w:rFonts w:cs="Arial"/>
                <w:sz w:val="22"/>
              </w:rPr>
            </w:pPr>
            <w:r>
              <w:rPr>
                <w:rFonts w:cs="Arial"/>
                <w:sz w:val="22"/>
              </w:rPr>
              <w:t>Dreptul de proprietate asupra terenurilor sau clădirilor (dacă este cazul)</w:t>
            </w:r>
          </w:p>
        </w:tc>
        <w:tc>
          <w:tcPr>
            <w:tcW w:w="4052" w:type="dxa"/>
            <w:tcBorders>
              <w:top w:val="single" w:color="000000" w:sz="4" w:space="0"/>
              <w:left w:val="single" w:color="000000" w:sz="4" w:space="0"/>
              <w:bottom w:val="single" w:color="000000" w:sz="4" w:space="0"/>
              <w:right w:val="single" w:color="000000" w:sz="4" w:space="0"/>
            </w:tcBorders>
          </w:tcPr>
          <w:p w14:paraId="7342BD15">
            <w:pPr>
              <w:kinsoku w:val="0"/>
              <w:overflowPunct w:val="0"/>
              <w:autoSpaceDE w:val="0"/>
              <w:autoSpaceDN w:val="0"/>
              <w:adjustRightInd w:val="0"/>
              <w:spacing w:line="276" w:lineRule="auto"/>
              <w:rPr>
                <w:rFonts w:cs="Arial"/>
                <w:sz w:val="22"/>
              </w:rPr>
            </w:pPr>
          </w:p>
        </w:tc>
      </w:tr>
      <w:tr w14:paraId="097CB74D">
        <w:tblPrEx>
          <w:tblCellMar>
            <w:top w:w="0" w:type="dxa"/>
            <w:left w:w="0" w:type="dxa"/>
            <w:bottom w:w="0" w:type="dxa"/>
            <w:right w:w="0" w:type="dxa"/>
          </w:tblCellMar>
        </w:tblPrEx>
        <w:trPr>
          <w:trHeight w:val="2286" w:hRule="atLeast"/>
        </w:trPr>
        <w:tc>
          <w:tcPr>
            <w:tcW w:w="535" w:type="dxa"/>
            <w:tcBorders>
              <w:top w:val="single" w:color="000000" w:sz="4" w:space="0"/>
              <w:left w:val="single" w:color="000000" w:sz="4" w:space="0"/>
              <w:bottom w:val="single" w:color="000000" w:sz="4" w:space="0"/>
              <w:right w:val="single" w:color="000000" w:sz="4" w:space="0"/>
            </w:tcBorders>
          </w:tcPr>
          <w:p w14:paraId="1C1EA2A6">
            <w:pPr>
              <w:kinsoku w:val="0"/>
              <w:overflowPunct w:val="0"/>
              <w:autoSpaceDE w:val="0"/>
              <w:autoSpaceDN w:val="0"/>
              <w:adjustRightInd w:val="0"/>
              <w:spacing w:line="276" w:lineRule="auto"/>
              <w:ind w:left="107"/>
              <w:rPr>
                <w:rFonts w:cs="Arial"/>
                <w:sz w:val="22"/>
              </w:rPr>
            </w:pPr>
            <w:r>
              <w:rPr>
                <w:rFonts w:cs="Arial"/>
                <w:sz w:val="22"/>
              </w:rPr>
              <w:t>.4</w:t>
            </w:r>
          </w:p>
        </w:tc>
        <w:tc>
          <w:tcPr>
            <w:tcW w:w="4736" w:type="dxa"/>
            <w:tcBorders>
              <w:top w:val="single" w:color="000000" w:sz="4" w:space="0"/>
              <w:left w:val="single" w:color="000000" w:sz="4" w:space="0"/>
              <w:bottom w:val="single" w:color="000000" w:sz="4" w:space="0"/>
              <w:right w:val="single" w:color="000000" w:sz="4" w:space="0"/>
            </w:tcBorders>
          </w:tcPr>
          <w:p w14:paraId="5E52701A">
            <w:pPr>
              <w:kinsoku w:val="0"/>
              <w:overflowPunct w:val="0"/>
              <w:autoSpaceDE w:val="0"/>
              <w:autoSpaceDN w:val="0"/>
              <w:adjustRightInd w:val="0"/>
              <w:spacing w:line="276" w:lineRule="auto"/>
              <w:ind w:left="105" w:firstLine="0"/>
              <w:rPr>
                <w:rFonts w:cs="Arial"/>
                <w:sz w:val="22"/>
              </w:rPr>
            </w:pPr>
            <w:r>
              <w:rPr>
                <w:rFonts w:cs="Arial"/>
                <w:sz w:val="22"/>
              </w:rPr>
              <w:t>Descriere proiect (Principalele lucrări și activități, in</w:t>
            </w:r>
          </w:p>
          <w:p w14:paraId="1BA37F52">
            <w:pPr>
              <w:kinsoku w:val="0"/>
              <w:overflowPunct w:val="0"/>
              <w:autoSpaceDE w:val="0"/>
              <w:autoSpaceDN w:val="0"/>
              <w:adjustRightInd w:val="0"/>
              <w:spacing w:line="276" w:lineRule="auto"/>
              <w:ind w:firstLine="0"/>
              <w:rPr>
                <w:rFonts w:cs="Arial"/>
                <w:sz w:val="22"/>
              </w:rPr>
            </w:pPr>
            <w:r>
              <w:rPr>
                <w:rFonts w:cs="Arial"/>
                <w:sz w:val="22"/>
              </w:rPr>
              <w:t>câteva fraze)</w:t>
            </w:r>
          </w:p>
        </w:tc>
        <w:tc>
          <w:tcPr>
            <w:tcW w:w="4052" w:type="dxa"/>
            <w:tcBorders>
              <w:top w:val="single" w:color="000000" w:sz="4" w:space="0"/>
              <w:left w:val="single" w:color="000000" w:sz="4" w:space="0"/>
              <w:bottom w:val="single" w:color="000000" w:sz="4" w:space="0"/>
              <w:right w:val="single" w:color="000000" w:sz="4" w:space="0"/>
            </w:tcBorders>
          </w:tcPr>
          <w:p w14:paraId="2B7D85A4">
            <w:pPr>
              <w:kinsoku w:val="0"/>
              <w:overflowPunct w:val="0"/>
              <w:autoSpaceDE w:val="0"/>
              <w:autoSpaceDN w:val="0"/>
              <w:adjustRightInd w:val="0"/>
              <w:spacing w:line="276" w:lineRule="auto"/>
              <w:rPr>
                <w:rFonts w:cs="Arial"/>
                <w:sz w:val="22"/>
              </w:rPr>
            </w:pPr>
          </w:p>
        </w:tc>
      </w:tr>
      <w:tr w14:paraId="6461D5A0">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1090CCD5">
            <w:pPr>
              <w:kinsoku w:val="0"/>
              <w:overflowPunct w:val="0"/>
              <w:autoSpaceDE w:val="0"/>
              <w:autoSpaceDN w:val="0"/>
              <w:adjustRightInd w:val="0"/>
              <w:spacing w:line="276" w:lineRule="auto"/>
              <w:ind w:left="107"/>
              <w:rPr>
                <w:rFonts w:cs="Arial"/>
                <w:sz w:val="22"/>
              </w:rPr>
            </w:pPr>
            <w:r>
              <w:rPr>
                <w:rFonts w:cs="Arial"/>
                <w:sz w:val="22"/>
              </w:rPr>
              <w:t>.5</w:t>
            </w:r>
          </w:p>
        </w:tc>
        <w:tc>
          <w:tcPr>
            <w:tcW w:w="4736" w:type="dxa"/>
            <w:tcBorders>
              <w:top w:val="single" w:color="000000" w:sz="4" w:space="0"/>
              <w:left w:val="single" w:color="000000" w:sz="4" w:space="0"/>
              <w:bottom w:val="single" w:color="000000" w:sz="4" w:space="0"/>
              <w:right w:val="single" w:color="000000" w:sz="4" w:space="0"/>
            </w:tcBorders>
          </w:tcPr>
          <w:p w14:paraId="1E0EC246">
            <w:pPr>
              <w:kinsoku w:val="0"/>
              <w:overflowPunct w:val="0"/>
              <w:autoSpaceDE w:val="0"/>
              <w:autoSpaceDN w:val="0"/>
              <w:adjustRightInd w:val="0"/>
              <w:spacing w:line="276" w:lineRule="auto"/>
              <w:ind w:left="105" w:firstLine="0"/>
              <w:rPr>
                <w:rFonts w:cs="Arial"/>
                <w:sz w:val="22"/>
              </w:rPr>
            </w:pPr>
            <w:r>
              <w:rPr>
                <w:rFonts w:cs="Arial"/>
                <w:sz w:val="22"/>
              </w:rPr>
              <w:t>Rezultate estimate (Se vor corela cu activitățile și cu</w:t>
            </w:r>
          </w:p>
          <w:p w14:paraId="373FC86E">
            <w:pPr>
              <w:kinsoku w:val="0"/>
              <w:overflowPunct w:val="0"/>
              <w:autoSpaceDE w:val="0"/>
              <w:autoSpaceDN w:val="0"/>
              <w:adjustRightInd w:val="0"/>
              <w:spacing w:line="276" w:lineRule="auto"/>
              <w:ind w:firstLine="0"/>
              <w:rPr>
                <w:rFonts w:cs="Arial"/>
                <w:sz w:val="22"/>
              </w:rPr>
            </w:pPr>
            <w:r>
              <w:rPr>
                <w:rFonts w:cs="Arial"/>
                <w:sz w:val="22"/>
              </w:rPr>
              <w:t>indicatorii priorității la care se aplică)</w:t>
            </w:r>
          </w:p>
        </w:tc>
        <w:tc>
          <w:tcPr>
            <w:tcW w:w="4052" w:type="dxa"/>
            <w:tcBorders>
              <w:top w:val="single" w:color="000000" w:sz="4" w:space="0"/>
              <w:left w:val="single" w:color="000000" w:sz="4" w:space="0"/>
              <w:bottom w:val="single" w:color="000000" w:sz="4" w:space="0"/>
              <w:right w:val="single" w:color="000000" w:sz="4" w:space="0"/>
            </w:tcBorders>
          </w:tcPr>
          <w:p w14:paraId="43E28700">
            <w:pPr>
              <w:kinsoku w:val="0"/>
              <w:overflowPunct w:val="0"/>
              <w:autoSpaceDE w:val="0"/>
              <w:autoSpaceDN w:val="0"/>
              <w:adjustRightInd w:val="0"/>
              <w:spacing w:line="276" w:lineRule="auto"/>
              <w:rPr>
                <w:rFonts w:cs="Arial"/>
                <w:sz w:val="22"/>
              </w:rPr>
            </w:pPr>
          </w:p>
        </w:tc>
      </w:tr>
      <w:tr w14:paraId="6815A60A">
        <w:tblPrEx>
          <w:tblCellMar>
            <w:top w:w="0" w:type="dxa"/>
            <w:left w:w="0" w:type="dxa"/>
            <w:bottom w:w="0" w:type="dxa"/>
            <w:right w:w="0" w:type="dxa"/>
          </w:tblCellMar>
        </w:tblPrEx>
        <w:trPr>
          <w:trHeight w:val="865" w:hRule="atLeast"/>
        </w:trPr>
        <w:tc>
          <w:tcPr>
            <w:tcW w:w="535" w:type="dxa"/>
            <w:tcBorders>
              <w:top w:val="single" w:color="000000" w:sz="4" w:space="0"/>
              <w:left w:val="single" w:color="000000" w:sz="4" w:space="0"/>
              <w:bottom w:val="single" w:color="000000" w:sz="4" w:space="0"/>
              <w:right w:val="single" w:color="000000" w:sz="4" w:space="0"/>
            </w:tcBorders>
          </w:tcPr>
          <w:p w14:paraId="184D5809">
            <w:pPr>
              <w:kinsoku w:val="0"/>
              <w:overflowPunct w:val="0"/>
              <w:autoSpaceDE w:val="0"/>
              <w:autoSpaceDN w:val="0"/>
              <w:adjustRightInd w:val="0"/>
              <w:spacing w:line="276" w:lineRule="auto"/>
              <w:ind w:left="32" w:right="171"/>
              <w:jc w:val="center"/>
              <w:rPr>
                <w:rFonts w:cs="Arial"/>
                <w:sz w:val="22"/>
              </w:rPr>
            </w:pPr>
            <w:r>
              <w:rPr>
                <w:rFonts w:cs="Arial"/>
                <w:sz w:val="22"/>
              </w:rPr>
              <w:t>66</w:t>
            </w:r>
          </w:p>
        </w:tc>
        <w:tc>
          <w:tcPr>
            <w:tcW w:w="4736" w:type="dxa"/>
            <w:tcBorders>
              <w:top w:val="single" w:color="000000" w:sz="4" w:space="0"/>
              <w:left w:val="single" w:color="000000" w:sz="4" w:space="0"/>
              <w:bottom w:val="single" w:color="000000" w:sz="4" w:space="0"/>
              <w:right w:val="single" w:color="000000" w:sz="4" w:space="0"/>
            </w:tcBorders>
          </w:tcPr>
          <w:p w14:paraId="6A36FCE0">
            <w:pPr>
              <w:kinsoku w:val="0"/>
              <w:overflowPunct w:val="0"/>
              <w:autoSpaceDE w:val="0"/>
              <w:autoSpaceDN w:val="0"/>
              <w:adjustRightInd w:val="0"/>
              <w:spacing w:line="276" w:lineRule="auto"/>
              <w:ind w:firstLine="0"/>
              <w:rPr>
                <w:rFonts w:cs="Arial"/>
                <w:sz w:val="22"/>
              </w:rPr>
            </w:pPr>
            <w:r>
              <w:rPr>
                <w:rFonts w:cs="Arial"/>
                <w:sz w:val="22"/>
              </w:rPr>
              <w:t>Sursele de finanțare identificate</w:t>
            </w:r>
          </w:p>
          <w:p w14:paraId="5A9012A3">
            <w:pPr>
              <w:kinsoku w:val="0"/>
              <w:overflowPunct w:val="0"/>
              <w:autoSpaceDE w:val="0"/>
              <w:autoSpaceDN w:val="0"/>
              <w:adjustRightInd w:val="0"/>
              <w:spacing w:line="276" w:lineRule="auto"/>
              <w:ind w:left="105" w:right="168" w:firstLine="0"/>
              <w:rPr>
                <w:rFonts w:cs="Arial"/>
                <w:sz w:val="22"/>
              </w:rPr>
            </w:pPr>
            <w:r>
              <w:rPr>
                <w:rFonts w:cs="Arial"/>
                <w:sz w:val="22"/>
              </w:rPr>
              <w:t>Încadrarea ideii de proiect în cadrul priorității P7- Dezvoltare teritoriala sustenabila a PR SV Oltenia 2021- 2027</w:t>
            </w:r>
          </w:p>
        </w:tc>
        <w:tc>
          <w:tcPr>
            <w:tcW w:w="4052" w:type="dxa"/>
            <w:tcBorders>
              <w:top w:val="single" w:color="000000" w:sz="4" w:space="0"/>
              <w:left w:val="single" w:color="000000" w:sz="4" w:space="0"/>
              <w:bottom w:val="single" w:color="000000" w:sz="4" w:space="0"/>
              <w:right w:val="single" w:color="000000" w:sz="4" w:space="0"/>
            </w:tcBorders>
          </w:tcPr>
          <w:p w14:paraId="6427DB51">
            <w:pPr>
              <w:tabs>
                <w:tab w:val="left" w:pos="1848"/>
              </w:tabs>
              <w:spacing w:line="276" w:lineRule="auto"/>
              <w:rPr>
                <w:rFonts w:cs="Arial"/>
                <w:sz w:val="22"/>
              </w:rPr>
            </w:pPr>
          </w:p>
        </w:tc>
      </w:tr>
      <w:tr w14:paraId="4B1E0FE4">
        <w:tblPrEx>
          <w:tblCellMar>
            <w:top w:w="0" w:type="dxa"/>
            <w:left w:w="0" w:type="dxa"/>
            <w:bottom w:w="0" w:type="dxa"/>
            <w:right w:w="0" w:type="dxa"/>
          </w:tblCellMar>
        </w:tblPrEx>
        <w:trPr>
          <w:trHeight w:val="1074" w:hRule="atLeast"/>
        </w:trPr>
        <w:tc>
          <w:tcPr>
            <w:tcW w:w="535" w:type="dxa"/>
            <w:tcBorders>
              <w:top w:val="single" w:color="000000" w:sz="4" w:space="0"/>
              <w:left w:val="single" w:color="000000" w:sz="4" w:space="0"/>
              <w:bottom w:val="single" w:color="000000" w:sz="4" w:space="0"/>
              <w:right w:val="single" w:color="000000" w:sz="4" w:space="0"/>
            </w:tcBorders>
          </w:tcPr>
          <w:p w14:paraId="218FB1E4">
            <w:pPr>
              <w:kinsoku w:val="0"/>
              <w:overflowPunct w:val="0"/>
              <w:autoSpaceDE w:val="0"/>
              <w:autoSpaceDN w:val="0"/>
              <w:adjustRightInd w:val="0"/>
              <w:spacing w:before="1" w:line="276" w:lineRule="auto"/>
              <w:ind w:left="32" w:right="171"/>
              <w:jc w:val="center"/>
              <w:rPr>
                <w:rFonts w:cs="Arial"/>
                <w:sz w:val="22"/>
              </w:rPr>
            </w:pPr>
            <w:r>
              <w:rPr>
                <w:rFonts w:cs="Arial"/>
                <w:sz w:val="22"/>
              </w:rPr>
              <w:t>77</w:t>
            </w:r>
          </w:p>
        </w:tc>
        <w:tc>
          <w:tcPr>
            <w:tcW w:w="4736" w:type="dxa"/>
            <w:tcBorders>
              <w:top w:val="single" w:color="000000" w:sz="4" w:space="0"/>
              <w:left w:val="single" w:color="000000" w:sz="4" w:space="0"/>
              <w:bottom w:val="single" w:color="000000" w:sz="4" w:space="0"/>
              <w:right w:val="single" w:color="000000" w:sz="4" w:space="0"/>
            </w:tcBorders>
          </w:tcPr>
          <w:p w14:paraId="20A82CA8">
            <w:pPr>
              <w:kinsoku w:val="0"/>
              <w:overflowPunct w:val="0"/>
              <w:autoSpaceDE w:val="0"/>
              <w:autoSpaceDN w:val="0"/>
              <w:adjustRightInd w:val="0"/>
              <w:spacing w:before="1" w:line="276" w:lineRule="auto"/>
              <w:ind w:firstLine="0"/>
              <w:rPr>
                <w:rFonts w:cs="Arial"/>
                <w:sz w:val="22"/>
              </w:rPr>
            </w:pPr>
            <w:r>
              <w:rPr>
                <w:rFonts w:cs="Arial"/>
                <w:sz w:val="22"/>
              </w:rPr>
              <w:t>Gradul de maturitate al proiectului (Studiu de</w:t>
            </w:r>
          </w:p>
          <w:p w14:paraId="37FC9526">
            <w:pPr>
              <w:kinsoku w:val="0"/>
              <w:overflowPunct w:val="0"/>
              <w:autoSpaceDE w:val="0"/>
              <w:autoSpaceDN w:val="0"/>
              <w:adjustRightInd w:val="0"/>
              <w:spacing w:line="276" w:lineRule="auto"/>
              <w:ind w:left="105" w:right="219" w:firstLine="0"/>
              <w:rPr>
                <w:rFonts w:cs="Arial"/>
                <w:sz w:val="22"/>
              </w:rPr>
            </w:pPr>
            <w:r>
              <w:rPr>
                <w:rFonts w:cs="Arial"/>
                <w:sz w:val="22"/>
              </w:rPr>
              <w:t>prefezabilitate/ Studiu de fezabilitate/ Proiect tehnic și detalii de execuție/ Studii de trafic/ Studii de marketing/ Sondaje/ Alte studii)</w:t>
            </w:r>
          </w:p>
        </w:tc>
        <w:tc>
          <w:tcPr>
            <w:tcW w:w="4052" w:type="dxa"/>
            <w:tcBorders>
              <w:top w:val="single" w:color="000000" w:sz="4" w:space="0"/>
              <w:left w:val="single" w:color="000000" w:sz="4" w:space="0"/>
              <w:bottom w:val="single" w:color="000000" w:sz="4" w:space="0"/>
              <w:right w:val="single" w:color="000000" w:sz="4" w:space="0"/>
            </w:tcBorders>
          </w:tcPr>
          <w:p w14:paraId="6FF2A7D8">
            <w:pPr>
              <w:kinsoku w:val="0"/>
              <w:overflowPunct w:val="0"/>
              <w:autoSpaceDE w:val="0"/>
              <w:autoSpaceDN w:val="0"/>
              <w:adjustRightInd w:val="0"/>
              <w:spacing w:line="276" w:lineRule="auto"/>
              <w:rPr>
                <w:rFonts w:cs="Arial"/>
                <w:sz w:val="22"/>
              </w:rPr>
            </w:pPr>
          </w:p>
        </w:tc>
      </w:tr>
      <w:tr w14:paraId="2F54EA7A">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5B54726C">
            <w:pPr>
              <w:kinsoku w:val="0"/>
              <w:overflowPunct w:val="0"/>
              <w:autoSpaceDE w:val="0"/>
              <w:autoSpaceDN w:val="0"/>
              <w:adjustRightInd w:val="0"/>
              <w:spacing w:line="276" w:lineRule="auto"/>
              <w:ind w:left="32" w:right="171"/>
              <w:jc w:val="center"/>
              <w:rPr>
                <w:rFonts w:cs="Arial"/>
                <w:sz w:val="22"/>
              </w:rPr>
            </w:pPr>
            <w:r>
              <w:rPr>
                <w:rFonts w:cs="Arial"/>
                <w:sz w:val="22"/>
              </w:rPr>
              <w:t>88</w:t>
            </w:r>
          </w:p>
        </w:tc>
        <w:tc>
          <w:tcPr>
            <w:tcW w:w="4736" w:type="dxa"/>
            <w:tcBorders>
              <w:top w:val="single" w:color="000000" w:sz="4" w:space="0"/>
              <w:left w:val="single" w:color="000000" w:sz="4" w:space="0"/>
              <w:bottom w:val="single" w:color="000000" w:sz="4" w:space="0"/>
              <w:right w:val="single" w:color="000000" w:sz="4" w:space="0"/>
            </w:tcBorders>
          </w:tcPr>
          <w:p w14:paraId="51B675D8">
            <w:pPr>
              <w:kinsoku w:val="0"/>
              <w:overflowPunct w:val="0"/>
              <w:autoSpaceDE w:val="0"/>
              <w:autoSpaceDN w:val="0"/>
              <w:adjustRightInd w:val="0"/>
              <w:spacing w:line="276" w:lineRule="auto"/>
              <w:ind w:left="105" w:firstLine="0"/>
              <w:rPr>
                <w:rFonts w:cs="Arial"/>
                <w:sz w:val="22"/>
              </w:rPr>
            </w:pPr>
            <w:r>
              <w:rPr>
                <w:rFonts w:cs="Arial"/>
                <w:sz w:val="22"/>
              </w:rPr>
              <w:t>Calendar orientativ (durata proiectului și perioada</w:t>
            </w:r>
          </w:p>
          <w:p w14:paraId="5FD3CCCA">
            <w:pPr>
              <w:kinsoku w:val="0"/>
              <w:overflowPunct w:val="0"/>
              <w:autoSpaceDE w:val="0"/>
              <w:autoSpaceDN w:val="0"/>
              <w:adjustRightInd w:val="0"/>
              <w:spacing w:line="276" w:lineRule="auto"/>
              <w:ind w:firstLine="0"/>
              <w:rPr>
                <w:rFonts w:cs="Arial"/>
                <w:sz w:val="22"/>
              </w:rPr>
            </w:pPr>
            <w:r>
              <w:rPr>
                <w:rFonts w:cs="Arial"/>
                <w:sz w:val="22"/>
              </w:rPr>
              <w:t>estimată de punere în aplicare)</w:t>
            </w:r>
          </w:p>
        </w:tc>
        <w:tc>
          <w:tcPr>
            <w:tcW w:w="4052" w:type="dxa"/>
            <w:tcBorders>
              <w:top w:val="single" w:color="000000" w:sz="4" w:space="0"/>
              <w:left w:val="single" w:color="000000" w:sz="4" w:space="0"/>
              <w:bottom w:val="single" w:color="000000" w:sz="4" w:space="0"/>
              <w:right w:val="single" w:color="000000" w:sz="4" w:space="0"/>
            </w:tcBorders>
          </w:tcPr>
          <w:p w14:paraId="5B643BBF">
            <w:pPr>
              <w:kinsoku w:val="0"/>
              <w:overflowPunct w:val="0"/>
              <w:autoSpaceDE w:val="0"/>
              <w:autoSpaceDN w:val="0"/>
              <w:adjustRightInd w:val="0"/>
              <w:spacing w:line="276" w:lineRule="auto"/>
              <w:rPr>
                <w:rFonts w:cs="Arial"/>
                <w:sz w:val="22"/>
              </w:rPr>
            </w:pPr>
          </w:p>
        </w:tc>
      </w:tr>
      <w:tr w14:paraId="16E96D66">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67B406DC">
            <w:pPr>
              <w:kinsoku w:val="0"/>
              <w:overflowPunct w:val="0"/>
              <w:autoSpaceDE w:val="0"/>
              <w:autoSpaceDN w:val="0"/>
              <w:adjustRightInd w:val="0"/>
              <w:spacing w:line="276" w:lineRule="auto"/>
              <w:ind w:left="32" w:right="171"/>
              <w:jc w:val="center"/>
              <w:rPr>
                <w:rFonts w:cs="Arial"/>
                <w:sz w:val="22"/>
              </w:rPr>
            </w:pPr>
            <w:r>
              <w:rPr>
                <w:rFonts w:cs="Arial"/>
                <w:sz w:val="22"/>
              </w:rPr>
              <w:t>99</w:t>
            </w:r>
          </w:p>
        </w:tc>
        <w:tc>
          <w:tcPr>
            <w:tcW w:w="4736" w:type="dxa"/>
            <w:tcBorders>
              <w:top w:val="single" w:color="000000" w:sz="4" w:space="0"/>
              <w:left w:val="single" w:color="000000" w:sz="4" w:space="0"/>
              <w:bottom w:val="single" w:color="000000" w:sz="4" w:space="0"/>
              <w:right w:val="single" w:color="000000" w:sz="4" w:space="0"/>
            </w:tcBorders>
          </w:tcPr>
          <w:p w14:paraId="00781D23">
            <w:pPr>
              <w:kinsoku w:val="0"/>
              <w:overflowPunct w:val="0"/>
              <w:autoSpaceDE w:val="0"/>
              <w:autoSpaceDN w:val="0"/>
              <w:adjustRightInd w:val="0"/>
              <w:spacing w:line="276" w:lineRule="auto"/>
              <w:ind w:left="105" w:firstLine="0"/>
              <w:rPr>
                <w:rFonts w:cs="Arial"/>
                <w:sz w:val="22"/>
              </w:rPr>
            </w:pPr>
            <w:r>
              <w:rPr>
                <w:rFonts w:cs="Arial"/>
                <w:sz w:val="22"/>
              </w:rPr>
              <w:t>Bugetul estimat al investiției si sustenabilitatea</w:t>
            </w:r>
          </w:p>
          <w:p w14:paraId="1B027AD2">
            <w:pPr>
              <w:kinsoku w:val="0"/>
              <w:overflowPunct w:val="0"/>
              <w:autoSpaceDE w:val="0"/>
              <w:autoSpaceDN w:val="0"/>
              <w:adjustRightInd w:val="0"/>
              <w:spacing w:line="276" w:lineRule="auto"/>
              <w:ind w:firstLine="0"/>
              <w:rPr>
                <w:rFonts w:cs="Arial"/>
                <w:sz w:val="22"/>
              </w:rPr>
            </w:pPr>
            <w:r>
              <w:rPr>
                <w:rFonts w:cs="Arial"/>
                <w:sz w:val="22"/>
              </w:rPr>
              <w:t>financiara a proiectului</w:t>
            </w:r>
          </w:p>
        </w:tc>
        <w:tc>
          <w:tcPr>
            <w:tcW w:w="4052" w:type="dxa"/>
            <w:tcBorders>
              <w:top w:val="single" w:color="000000" w:sz="4" w:space="0"/>
              <w:left w:val="single" w:color="000000" w:sz="4" w:space="0"/>
              <w:bottom w:val="single" w:color="000000" w:sz="4" w:space="0"/>
              <w:right w:val="single" w:color="000000" w:sz="4" w:space="0"/>
            </w:tcBorders>
          </w:tcPr>
          <w:p w14:paraId="492E791F">
            <w:pPr>
              <w:kinsoku w:val="0"/>
              <w:overflowPunct w:val="0"/>
              <w:autoSpaceDE w:val="0"/>
              <w:autoSpaceDN w:val="0"/>
              <w:adjustRightInd w:val="0"/>
              <w:spacing w:line="276" w:lineRule="auto"/>
              <w:rPr>
                <w:rFonts w:cs="Arial"/>
                <w:sz w:val="22"/>
              </w:rPr>
            </w:pPr>
          </w:p>
        </w:tc>
      </w:tr>
      <w:tr w14:paraId="3C7A2500">
        <w:tblPrEx>
          <w:tblCellMar>
            <w:top w:w="0" w:type="dxa"/>
            <w:left w:w="0" w:type="dxa"/>
            <w:bottom w:w="0" w:type="dxa"/>
            <w:right w:w="0" w:type="dxa"/>
          </w:tblCellMar>
        </w:tblPrEx>
        <w:trPr>
          <w:trHeight w:val="453" w:hRule="atLeast"/>
        </w:trPr>
        <w:tc>
          <w:tcPr>
            <w:tcW w:w="535" w:type="dxa"/>
            <w:tcBorders>
              <w:top w:val="single" w:color="000000" w:sz="4" w:space="0"/>
              <w:left w:val="single" w:color="000000" w:sz="4" w:space="0"/>
              <w:bottom w:val="single" w:color="000000" w:sz="4" w:space="0"/>
              <w:right w:val="single" w:color="000000" w:sz="4" w:space="0"/>
            </w:tcBorders>
          </w:tcPr>
          <w:p w14:paraId="141696BB">
            <w:pPr>
              <w:kinsoku w:val="0"/>
              <w:overflowPunct w:val="0"/>
              <w:autoSpaceDE w:val="0"/>
              <w:autoSpaceDN w:val="0"/>
              <w:adjustRightInd w:val="0"/>
              <w:spacing w:line="276" w:lineRule="auto"/>
              <w:ind w:left="89" w:right="170"/>
              <w:jc w:val="center"/>
              <w:rPr>
                <w:rFonts w:cs="Arial"/>
                <w:sz w:val="22"/>
              </w:rPr>
            </w:pPr>
            <w:r>
              <w:rPr>
                <w:rFonts w:cs="Arial"/>
                <w:sz w:val="22"/>
              </w:rPr>
              <w:t>110</w:t>
            </w:r>
          </w:p>
        </w:tc>
        <w:tc>
          <w:tcPr>
            <w:tcW w:w="4736" w:type="dxa"/>
            <w:tcBorders>
              <w:top w:val="single" w:color="000000" w:sz="4" w:space="0"/>
              <w:left w:val="single" w:color="000000" w:sz="4" w:space="0"/>
              <w:bottom w:val="single" w:color="000000" w:sz="4" w:space="0"/>
              <w:right w:val="single" w:color="000000" w:sz="4" w:space="0"/>
            </w:tcBorders>
          </w:tcPr>
          <w:p w14:paraId="41A15202">
            <w:pPr>
              <w:kinsoku w:val="0"/>
              <w:overflowPunct w:val="0"/>
              <w:autoSpaceDE w:val="0"/>
              <w:autoSpaceDN w:val="0"/>
              <w:adjustRightInd w:val="0"/>
              <w:spacing w:line="276" w:lineRule="auto"/>
              <w:ind w:left="105" w:firstLine="0"/>
              <w:rPr>
                <w:rFonts w:cs="Arial"/>
                <w:sz w:val="22"/>
              </w:rPr>
            </w:pPr>
            <w:r>
              <w:rPr>
                <w:rFonts w:cs="Arial"/>
                <w:sz w:val="22"/>
              </w:rPr>
              <w:t>Contribuția proiectului la dezvoltarea durabila</w:t>
            </w:r>
          </w:p>
        </w:tc>
        <w:tc>
          <w:tcPr>
            <w:tcW w:w="4052" w:type="dxa"/>
            <w:tcBorders>
              <w:top w:val="single" w:color="000000" w:sz="4" w:space="0"/>
              <w:left w:val="single" w:color="000000" w:sz="4" w:space="0"/>
              <w:bottom w:val="single" w:color="000000" w:sz="4" w:space="0"/>
              <w:right w:val="single" w:color="000000" w:sz="4" w:space="0"/>
            </w:tcBorders>
          </w:tcPr>
          <w:p w14:paraId="3CE8726A">
            <w:pPr>
              <w:kinsoku w:val="0"/>
              <w:overflowPunct w:val="0"/>
              <w:autoSpaceDE w:val="0"/>
              <w:autoSpaceDN w:val="0"/>
              <w:adjustRightInd w:val="0"/>
              <w:spacing w:line="276" w:lineRule="auto"/>
              <w:rPr>
                <w:rFonts w:cs="Arial"/>
                <w:sz w:val="22"/>
              </w:rPr>
            </w:pPr>
          </w:p>
        </w:tc>
      </w:tr>
      <w:tr w14:paraId="20E81D29">
        <w:tblPrEx>
          <w:tblCellMar>
            <w:top w:w="0" w:type="dxa"/>
            <w:left w:w="0" w:type="dxa"/>
            <w:bottom w:w="0" w:type="dxa"/>
            <w:right w:w="0" w:type="dxa"/>
          </w:tblCellMar>
        </w:tblPrEx>
        <w:trPr>
          <w:trHeight w:val="950" w:hRule="atLeast"/>
        </w:trPr>
        <w:tc>
          <w:tcPr>
            <w:tcW w:w="535" w:type="dxa"/>
            <w:tcBorders>
              <w:top w:val="single" w:color="000000" w:sz="4" w:space="0"/>
              <w:left w:val="single" w:color="000000" w:sz="4" w:space="0"/>
              <w:bottom w:val="single" w:color="000000" w:sz="4" w:space="0"/>
              <w:right w:val="single" w:color="000000" w:sz="4" w:space="0"/>
            </w:tcBorders>
          </w:tcPr>
          <w:p w14:paraId="34EA3855">
            <w:pPr>
              <w:kinsoku w:val="0"/>
              <w:overflowPunct w:val="0"/>
              <w:autoSpaceDE w:val="0"/>
              <w:autoSpaceDN w:val="0"/>
              <w:adjustRightInd w:val="0"/>
              <w:spacing w:line="276" w:lineRule="auto"/>
              <w:ind w:left="89" w:right="170"/>
              <w:jc w:val="center"/>
              <w:rPr>
                <w:rFonts w:cs="Arial"/>
                <w:sz w:val="22"/>
              </w:rPr>
            </w:pPr>
            <w:r>
              <w:rPr>
                <w:rFonts w:cs="Arial"/>
                <w:sz w:val="22"/>
              </w:rPr>
              <w:t>111</w:t>
            </w:r>
          </w:p>
        </w:tc>
        <w:tc>
          <w:tcPr>
            <w:tcW w:w="4736" w:type="dxa"/>
            <w:tcBorders>
              <w:top w:val="single" w:color="000000" w:sz="4" w:space="0"/>
              <w:left w:val="single" w:color="000000" w:sz="4" w:space="0"/>
              <w:bottom w:val="single" w:color="000000" w:sz="4" w:space="0"/>
              <w:right w:val="single" w:color="000000" w:sz="4" w:space="0"/>
            </w:tcBorders>
          </w:tcPr>
          <w:p w14:paraId="187FEBB9">
            <w:pPr>
              <w:kinsoku w:val="0"/>
              <w:overflowPunct w:val="0"/>
              <w:autoSpaceDE w:val="0"/>
              <w:autoSpaceDN w:val="0"/>
              <w:adjustRightInd w:val="0"/>
              <w:spacing w:line="276" w:lineRule="auto"/>
              <w:ind w:left="105" w:right="234"/>
              <w:rPr>
                <w:rFonts w:cs="Arial"/>
                <w:sz w:val="22"/>
              </w:rPr>
            </w:pPr>
            <w:r>
              <w:rPr>
                <w:rFonts w:cs="Arial"/>
                <w:sz w:val="22"/>
              </w:rPr>
              <w:t>Ideea de proiect permite aspecte legate de principiile privind dezvoltarea durabilă, accesibilitatea, egalitatea de șanse, gen și nediscriminarea</w:t>
            </w:r>
          </w:p>
        </w:tc>
        <w:tc>
          <w:tcPr>
            <w:tcW w:w="4052" w:type="dxa"/>
            <w:tcBorders>
              <w:top w:val="single" w:color="000000" w:sz="4" w:space="0"/>
              <w:left w:val="single" w:color="000000" w:sz="4" w:space="0"/>
              <w:bottom w:val="single" w:color="000000" w:sz="4" w:space="0"/>
              <w:right w:val="single" w:color="000000" w:sz="4" w:space="0"/>
            </w:tcBorders>
          </w:tcPr>
          <w:p w14:paraId="7DCC47B6">
            <w:pPr>
              <w:kinsoku w:val="0"/>
              <w:overflowPunct w:val="0"/>
              <w:autoSpaceDE w:val="0"/>
              <w:autoSpaceDN w:val="0"/>
              <w:adjustRightInd w:val="0"/>
              <w:spacing w:line="276" w:lineRule="auto"/>
              <w:rPr>
                <w:rFonts w:cs="Arial"/>
                <w:sz w:val="22"/>
              </w:rPr>
            </w:pPr>
          </w:p>
        </w:tc>
      </w:tr>
      <w:tr w14:paraId="7A93AD25">
        <w:tblPrEx>
          <w:tblCellMar>
            <w:top w:w="0" w:type="dxa"/>
            <w:left w:w="0" w:type="dxa"/>
            <w:bottom w:w="0" w:type="dxa"/>
            <w:right w:w="0" w:type="dxa"/>
          </w:tblCellMar>
        </w:tblPrEx>
        <w:trPr>
          <w:trHeight w:val="445" w:hRule="atLeast"/>
        </w:trPr>
        <w:tc>
          <w:tcPr>
            <w:tcW w:w="535" w:type="dxa"/>
            <w:tcBorders>
              <w:top w:val="single" w:color="000000" w:sz="4" w:space="0"/>
              <w:left w:val="single" w:color="000000" w:sz="4" w:space="0"/>
              <w:bottom w:val="single" w:color="000000" w:sz="4" w:space="0"/>
              <w:right w:val="single" w:color="000000" w:sz="4" w:space="0"/>
            </w:tcBorders>
          </w:tcPr>
          <w:p w14:paraId="03B3741B">
            <w:pPr>
              <w:kinsoku w:val="0"/>
              <w:overflowPunct w:val="0"/>
              <w:autoSpaceDE w:val="0"/>
              <w:autoSpaceDN w:val="0"/>
              <w:adjustRightInd w:val="0"/>
              <w:spacing w:line="276" w:lineRule="auto"/>
              <w:ind w:left="89" w:right="170"/>
              <w:jc w:val="center"/>
              <w:rPr>
                <w:rFonts w:cs="Arial"/>
                <w:sz w:val="22"/>
              </w:rPr>
            </w:pPr>
            <w:r>
              <w:rPr>
                <w:rFonts w:cs="Arial"/>
                <w:sz w:val="22"/>
              </w:rPr>
              <w:t>112</w:t>
            </w:r>
          </w:p>
        </w:tc>
        <w:tc>
          <w:tcPr>
            <w:tcW w:w="4736" w:type="dxa"/>
            <w:tcBorders>
              <w:top w:val="single" w:color="000000" w:sz="4" w:space="0"/>
              <w:left w:val="single" w:color="000000" w:sz="4" w:space="0"/>
              <w:bottom w:val="single" w:color="000000" w:sz="4" w:space="0"/>
              <w:right w:val="single" w:color="000000" w:sz="4" w:space="0"/>
            </w:tcBorders>
          </w:tcPr>
          <w:p w14:paraId="1679EADB">
            <w:pPr>
              <w:kinsoku w:val="0"/>
              <w:overflowPunct w:val="0"/>
              <w:autoSpaceDE w:val="0"/>
              <w:autoSpaceDN w:val="0"/>
              <w:adjustRightInd w:val="0"/>
              <w:spacing w:line="276" w:lineRule="auto"/>
              <w:ind w:left="105"/>
              <w:rPr>
                <w:rFonts w:cs="Arial"/>
                <w:sz w:val="22"/>
              </w:rPr>
            </w:pPr>
            <w:r>
              <w:rPr>
                <w:rFonts w:cs="Arial"/>
                <w:sz w:val="22"/>
              </w:rPr>
              <w:t>Ideea de proiect are caracter integrat ?</w:t>
            </w:r>
          </w:p>
        </w:tc>
        <w:tc>
          <w:tcPr>
            <w:tcW w:w="4052" w:type="dxa"/>
            <w:tcBorders>
              <w:top w:val="single" w:color="000000" w:sz="4" w:space="0"/>
              <w:left w:val="single" w:color="000000" w:sz="4" w:space="0"/>
              <w:bottom w:val="single" w:color="000000" w:sz="4" w:space="0"/>
              <w:right w:val="single" w:color="000000" w:sz="4" w:space="0"/>
            </w:tcBorders>
          </w:tcPr>
          <w:p w14:paraId="5E338C21">
            <w:pPr>
              <w:kinsoku w:val="0"/>
              <w:overflowPunct w:val="0"/>
              <w:autoSpaceDE w:val="0"/>
              <w:autoSpaceDN w:val="0"/>
              <w:adjustRightInd w:val="0"/>
              <w:spacing w:line="276" w:lineRule="auto"/>
              <w:rPr>
                <w:rFonts w:cs="Arial"/>
                <w:sz w:val="22"/>
              </w:rPr>
            </w:pPr>
          </w:p>
        </w:tc>
      </w:tr>
      <w:tr w14:paraId="24C8C3DE">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0E665882">
            <w:pPr>
              <w:kinsoku w:val="0"/>
              <w:overflowPunct w:val="0"/>
              <w:autoSpaceDE w:val="0"/>
              <w:autoSpaceDN w:val="0"/>
              <w:adjustRightInd w:val="0"/>
              <w:spacing w:line="276" w:lineRule="auto"/>
              <w:ind w:left="89" w:right="115"/>
              <w:jc w:val="center"/>
              <w:rPr>
                <w:rFonts w:cs="Arial"/>
                <w:sz w:val="22"/>
              </w:rPr>
            </w:pPr>
            <w:r>
              <w:rPr>
                <w:rFonts w:cs="Arial"/>
                <w:sz w:val="22"/>
              </w:rPr>
              <w:t>113</w:t>
            </w:r>
          </w:p>
        </w:tc>
        <w:tc>
          <w:tcPr>
            <w:tcW w:w="4736" w:type="dxa"/>
            <w:tcBorders>
              <w:top w:val="single" w:color="000000" w:sz="4" w:space="0"/>
              <w:left w:val="single" w:color="000000" w:sz="4" w:space="0"/>
              <w:bottom w:val="single" w:color="000000" w:sz="4" w:space="0"/>
              <w:right w:val="single" w:color="000000" w:sz="4" w:space="0"/>
            </w:tcBorders>
          </w:tcPr>
          <w:p w14:paraId="075E34A5">
            <w:pPr>
              <w:kinsoku w:val="0"/>
              <w:overflowPunct w:val="0"/>
              <w:autoSpaceDE w:val="0"/>
              <w:autoSpaceDN w:val="0"/>
              <w:adjustRightInd w:val="0"/>
              <w:spacing w:line="276" w:lineRule="auto"/>
              <w:ind w:left="105"/>
              <w:rPr>
                <w:rFonts w:cs="Arial"/>
                <w:sz w:val="22"/>
              </w:rPr>
            </w:pPr>
            <w:r>
              <w:rPr>
                <w:rFonts w:cs="Arial"/>
                <w:sz w:val="22"/>
              </w:rPr>
              <w:t>Alte informații relevante</w:t>
            </w:r>
          </w:p>
        </w:tc>
        <w:tc>
          <w:tcPr>
            <w:tcW w:w="4052" w:type="dxa"/>
            <w:tcBorders>
              <w:top w:val="single" w:color="000000" w:sz="4" w:space="0"/>
              <w:left w:val="single" w:color="000000" w:sz="4" w:space="0"/>
              <w:bottom w:val="single" w:color="000000" w:sz="4" w:space="0"/>
              <w:right w:val="single" w:color="000000" w:sz="4" w:space="0"/>
            </w:tcBorders>
          </w:tcPr>
          <w:p w14:paraId="44164102">
            <w:pPr>
              <w:kinsoku w:val="0"/>
              <w:overflowPunct w:val="0"/>
              <w:autoSpaceDE w:val="0"/>
              <w:autoSpaceDN w:val="0"/>
              <w:adjustRightInd w:val="0"/>
              <w:spacing w:line="276" w:lineRule="auto"/>
              <w:rPr>
                <w:rFonts w:cs="Arial"/>
                <w:sz w:val="22"/>
              </w:rPr>
            </w:pPr>
          </w:p>
        </w:tc>
      </w:tr>
      <w:bookmarkEnd w:id="98"/>
    </w:tbl>
    <w:p w14:paraId="53A8F534">
      <w:pPr>
        <w:tabs>
          <w:tab w:val="left" w:pos="1663"/>
        </w:tabs>
        <w:rPr>
          <w:rFonts w:cs="Arial"/>
          <w:sz w:val="22"/>
        </w:rPr>
      </w:pPr>
    </w:p>
    <w:p w14:paraId="13D3B6BE">
      <w:pPr>
        <w:tabs>
          <w:tab w:val="left" w:pos="1663"/>
        </w:tabs>
        <w:jc w:val="center"/>
        <w:rPr>
          <w:rFonts w:cs="Arial"/>
          <w:sz w:val="22"/>
        </w:rPr>
      </w:pPr>
    </w:p>
    <w:p w14:paraId="3C164B40">
      <w:pPr>
        <w:tabs>
          <w:tab w:val="left" w:pos="1663"/>
        </w:tabs>
        <w:jc w:val="center"/>
        <w:rPr>
          <w:rFonts w:cs="Arial"/>
          <w:sz w:val="22"/>
        </w:rPr>
      </w:pPr>
    </w:p>
    <w:tbl>
      <w:tblPr>
        <w:tblStyle w:val="12"/>
        <w:tblW w:w="9323" w:type="dxa"/>
        <w:tblInd w:w="111" w:type="dxa"/>
        <w:tblLayout w:type="fixed"/>
        <w:tblCellMar>
          <w:top w:w="0" w:type="dxa"/>
          <w:left w:w="0" w:type="dxa"/>
          <w:bottom w:w="0" w:type="dxa"/>
          <w:right w:w="0" w:type="dxa"/>
        </w:tblCellMar>
      </w:tblPr>
      <w:tblGrid>
        <w:gridCol w:w="535"/>
        <w:gridCol w:w="4878"/>
        <w:gridCol w:w="3910"/>
      </w:tblGrid>
      <w:tr w14:paraId="78C90AE2">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3E51A0E1">
            <w:pPr>
              <w:kinsoku w:val="0"/>
              <w:overflowPunct w:val="0"/>
              <w:autoSpaceDE w:val="0"/>
              <w:autoSpaceDN w:val="0"/>
              <w:adjustRightInd w:val="0"/>
              <w:spacing w:line="276" w:lineRule="auto"/>
              <w:ind w:left="107"/>
              <w:rPr>
                <w:rFonts w:cs="Arial"/>
                <w:sz w:val="22"/>
              </w:rPr>
            </w:pPr>
            <w:r>
              <w:rPr>
                <w:rFonts w:cs="Arial"/>
                <w:sz w:val="22"/>
              </w:rPr>
              <w:t>11</w:t>
            </w:r>
          </w:p>
        </w:tc>
        <w:tc>
          <w:tcPr>
            <w:tcW w:w="4878" w:type="dxa"/>
            <w:tcBorders>
              <w:top w:val="single" w:color="000000" w:sz="4" w:space="0"/>
              <w:left w:val="single" w:color="000000" w:sz="4" w:space="0"/>
              <w:bottom w:val="single" w:color="000000" w:sz="4" w:space="0"/>
              <w:right w:val="single" w:color="000000" w:sz="4" w:space="0"/>
            </w:tcBorders>
          </w:tcPr>
          <w:p w14:paraId="5C95AE47">
            <w:pPr>
              <w:kinsoku w:val="0"/>
              <w:overflowPunct w:val="0"/>
              <w:autoSpaceDE w:val="0"/>
              <w:autoSpaceDN w:val="0"/>
              <w:adjustRightInd w:val="0"/>
              <w:spacing w:line="276" w:lineRule="auto"/>
              <w:ind w:left="105"/>
              <w:rPr>
                <w:rFonts w:cs="Arial"/>
                <w:b/>
                <w:bCs/>
                <w:sz w:val="22"/>
              </w:rPr>
            </w:pPr>
            <w:r>
              <w:rPr>
                <w:rFonts w:cs="Arial"/>
                <w:b/>
                <w:bCs/>
                <w:sz w:val="22"/>
              </w:rPr>
              <w:t>Titlul proiectului</w:t>
            </w:r>
          </w:p>
        </w:tc>
        <w:tc>
          <w:tcPr>
            <w:tcW w:w="3910" w:type="dxa"/>
            <w:tcBorders>
              <w:top w:val="single" w:color="000000" w:sz="4" w:space="0"/>
              <w:left w:val="single" w:color="000000" w:sz="4" w:space="0"/>
              <w:bottom w:val="single" w:color="000000" w:sz="4" w:space="0"/>
              <w:right w:val="single" w:color="000000" w:sz="4" w:space="0"/>
            </w:tcBorders>
          </w:tcPr>
          <w:p w14:paraId="754BD220">
            <w:pPr>
              <w:tabs>
                <w:tab w:val="left" w:pos="1461"/>
              </w:tabs>
              <w:spacing w:line="276" w:lineRule="auto"/>
              <w:rPr>
                <w:rFonts w:cs="Arial"/>
                <w:b/>
                <w:bCs/>
                <w:sz w:val="22"/>
              </w:rPr>
            </w:pPr>
          </w:p>
        </w:tc>
      </w:tr>
      <w:tr w14:paraId="529F52FF">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53B38AA5">
            <w:pPr>
              <w:kinsoku w:val="0"/>
              <w:overflowPunct w:val="0"/>
              <w:autoSpaceDE w:val="0"/>
              <w:autoSpaceDN w:val="0"/>
              <w:adjustRightInd w:val="0"/>
              <w:spacing w:line="276" w:lineRule="auto"/>
              <w:ind w:left="107"/>
              <w:rPr>
                <w:rFonts w:cs="Arial"/>
                <w:sz w:val="22"/>
              </w:rPr>
            </w:pPr>
            <w:r>
              <w:rPr>
                <w:rFonts w:cs="Arial"/>
                <w:sz w:val="22"/>
              </w:rPr>
              <w:t>22</w:t>
            </w:r>
          </w:p>
        </w:tc>
        <w:tc>
          <w:tcPr>
            <w:tcW w:w="4878" w:type="dxa"/>
            <w:tcBorders>
              <w:top w:val="single" w:color="000000" w:sz="4" w:space="0"/>
              <w:left w:val="single" w:color="000000" w:sz="4" w:space="0"/>
              <w:bottom w:val="single" w:color="000000" w:sz="4" w:space="0"/>
              <w:right w:val="single" w:color="000000" w:sz="4" w:space="0"/>
            </w:tcBorders>
          </w:tcPr>
          <w:p w14:paraId="29DAB03D">
            <w:pPr>
              <w:kinsoku w:val="0"/>
              <w:overflowPunct w:val="0"/>
              <w:autoSpaceDE w:val="0"/>
              <w:autoSpaceDN w:val="0"/>
              <w:adjustRightInd w:val="0"/>
              <w:spacing w:line="276" w:lineRule="auto"/>
              <w:ind w:left="105"/>
              <w:rPr>
                <w:rFonts w:cs="Arial"/>
                <w:sz w:val="22"/>
              </w:rPr>
            </w:pPr>
            <w:r>
              <w:rPr>
                <w:rFonts w:cs="Arial"/>
                <w:sz w:val="22"/>
              </w:rPr>
              <w:t>Beneficiarul proiectului/ Parteneri</w:t>
            </w:r>
          </w:p>
        </w:tc>
        <w:tc>
          <w:tcPr>
            <w:tcW w:w="3910" w:type="dxa"/>
            <w:tcBorders>
              <w:top w:val="single" w:color="000000" w:sz="4" w:space="0"/>
              <w:left w:val="single" w:color="000000" w:sz="4" w:space="0"/>
              <w:bottom w:val="single" w:color="000000" w:sz="4" w:space="0"/>
              <w:right w:val="single" w:color="000000" w:sz="4" w:space="0"/>
            </w:tcBorders>
          </w:tcPr>
          <w:p w14:paraId="45A7D4E6">
            <w:pPr>
              <w:kinsoku w:val="0"/>
              <w:overflowPunct w:val="0"/>
              <w:autoSpaceDE w:val="0"/>
              <w:autoSpaceDN w:val="0"/>
              <w:adjustRightInd w:val="0"/>
              <w:spacing w:line="276" w:lineRule="auto"/>
              <w:rPr>
                <w:rFonts w:cs="Arial"/>
                <w:sz w:val="22"/>
              </w:rPr>
            </w:pPr>
          </w:p>
        </w:tc>
      </w:tr>
      <w:tr w14:paraId="0071D282">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453FD980">
            <w:pPr>
              <w:kinsoku w:val="0"/>
              <w:overflowPunct w:val="0"/>
              <w:autoSpaceDE w:val="0"/>
              <w:autoSpaceDN w:val="0"/>
              <w:adjustRightInd w:val="0"/>
              <w:spacing w:line="276" w:lineRule="auto"/>
              <w:ind w:left="107"/>
              <w:rPr>
                <w:rFonts w:cs="Arial"/>
                <w:sz w:val="22"/>
              </w:rPr>
            </w:pPr>
            <w:r>
              <w:rPr>
                <w:rFonts w:cs="Arial"/>
                <w:sz w:val="22"/>
              </w:rPr>
              <w:t>33</w:t>
            </w:r>
          </w:p>
        </w:tc>
        <w:tc>
          <w:tcPr>
            <w:tcW w:w="4878" w:type="dxa"/>
            <w:tcBorders>
              <w:top w:val="single" w:color="000000" w:sz="4" w:space="0"/>
              <w:left w:val="single" w:color="000000" w:sz="4" w:space="0"/>
              <w:bottom w:val="single" w:color="000000" w:sz="4" w:space="0"/>
              <w:right w:val="single" w:color="000000" w:sz="4" w:space="0"/>
            </w:tcBorders>
          </w:tcPr>
          <w:p w14:paraId="3D87EDAD">
            <w:pPr>
              <w:kinsoku w:val="0"/>
              <w:overflowPunct w:val="0"/>
              <w:autoSpaceDE w:val="0"/>
              <w:autoSpaceDN w:val="0"/>
              <w:adjustRightInd w:val="0"/>
              <w:spacing w:line="276" w:lineRule="auto"/>
              <w:ind w:left="105"/>
              <w:rPr>
                <w:rFonts w:cs="Arial"/>
                <w:sz w:val="22"/>
              </w:rPr>
            </w:pPr>
            <w:r>
              <w:rPr>
                <w:rFonts w:cs="Arial"/>
                <w:sz w:val="22"/>
              </w:rPr>
              <w:t>Dreptul de proprietate asupra terenurilor sau clădirilor</w:t>
            </w:r>
          </w:p>
          <w:p w14:paraId="22B5C816">
            <w:pPr>
              <w:kinsoku w:val="0"/>
              <w:overflowPunct w:val="0"/>
              <w:autoSpaceDE w:val="0"/>
              <w:autoSpaceDN w:val="0"/>
              <w:adjustRightInd w:val="0"/>
              <w:spacing w:line="276" w:lineRule="auto"/>
              <w:ind w:left="105"/>
              <w:rPr>
                <w:rFonts w:cs="Arial"/>
                <w:sz w:val="22"/>
              </w:rPr>
            </w:pPr>
            <w:r>
              <w:rPr>
                <w:rFonts w:cs="Arial"/>
                <w:sz w:val="22"/>
              </w:rPr>
              <w:t>(dacă este cazul)</w:t>
            </w:r>
          </w:p>
        </w:tc>
        <w:tc>
          <w:tcPr>
            <w:tcW w:w="3910" w:type="dxa"/>
            <w:tcBorders>
              <w:top w:val="single" w:color="000000" w:sz="4" w:space="0"/>
              <w:left w:val="single" w:color="000000" w:sz="4" w:space="0"/>
              <w:bottom w:val="single" w:color="000000" w:sz="4" w:space="0"/>
              <w:right w:val="single" w:color="000000" w:sz="4" w:space="0"/>
            </w:tcBorders>
          </w:tcPr>
          <w:p w14:paraId="32C9BD59">
            <w:pPr>
              <w:kinsoku w:val="0"/>
              <w:overflowPunct w:val="0"/>
              <w:autoSpaceDE w:val="0"/>
              <w:autoSpaceDN w:val="0"/>
              <w:adjustRightInd w:val="0"/>
              <w:spacing w:line="276" w:lineRule="auto"/>
              <w:rPr>
                <w:rFonts w:cs="Arial"/>
                <w:sz w:val="22"/>
              </w:rPr>
            </w:pPr>
          </w:p>
        </w:tc>
      </w:tr>
      <w:tr w14:paraId="426F7BDE">
        <w:tblPrEx>
          <w:tblCellMar>
            <w:top w:w="0" w:type="dxa"/>
            <w:left w:w="0" w:type="dxa"/>
            <w:bottom w:w="0" w:type="dxa"/>
            <w:right w:w="0" w:type="dxa"/>
          </w:tblCellMar>
        </w:tblPrEx>
        <w:trPr>
          <w:trHeight w:val="872" w:hRule="atLeast"/>
        </w:trPr>
        <w:tc>
          <w:tcPr>
            <w:tcW w:w="535" w:type="dxa"/>
            <w:tcBorders>
              <w:top w:val="single" w:color="000000" w:sz="4" w:space="0"/>
              <w:left w:val="single" w:color="000000" w:sz="4" w:space="0"/>
              <w:bottom w:val="single" w:color="000000" w:sz="4" w:space="0"/>
              <w:right w:val="single" w:color="000000" w:sz="4" w:space="0"/>
            </w:tcBorders>
          </w:tcPr>
          <w:p w14:paraId="29A56A2B">
            <w:pPr>
              <w:kinsoku w:val="0"/>
              <w:overflowPunct w:val="0"/>
              <w:autoSpaceDE w:val="0"/>
              <w:autoSpaceDN w:val="0"/>
              <w:adjustRightInd w:val="0"/>
              <w:spacing w:line="276" w:lineRule="auto"/>
              <w:ind w:left="107"/>
              <w:rPr>
                <w:rFonts w:cs="Arial"/>
                <w:sz w:val="22"/>
              </w:rPr>
            </w:pPr>
            <w:r>
              <w:rPr>
                <w:rFonts w:cs="Arial"/>
                <w:sz w:val="22"/>
              </w:rPr>
              <w:t>44</w:t>
            </w:r>
          </w:p>
        </w:tc>
        <w:tc>
          <w:tcPr>
            <w:tcW w:w="4878" w:type="dxa"/>
            <w:tcBorders>
              <w:top w:val="single" w:color="000000" w:sz="4" w:space="0"/>
              <w:left w:val="single" w:color="000000" w:sz="4" w:space="0"/>
              <w:bottom w:val="single" w:color="000000" w:sz="4" w:space="0"/>
              <w:right w:val="single" w:color="000000" w:sz="4" w:space="0"/>
            </w:tcBorders>
          </w:tcPr>
          <w:p w14:paraId="49E6BC27">
            <w:pPr>
              <w:kinsoku w:val="0"/>
              <w:overflowPunct w:val="0"/>
              <w:autoSpaceDE w:val="0"/>
              <w:autoSpaceDN w:val="0"/>
              <w:adjustRightInd w:val="0"/>
              <w:spacing w:line="276" w:lineRule="auto"/>
              <w:ind w:left="105"/>
              <w:rPr>
                <w:rFonts w:cs="Arial"/>
                <w:sz w:val="22"/>
              </w:rPr>
            </w:pPr>
            <w:r>
              <w:rPr>
                <w:rFonts w:cs="Arial"/>
                <w:sz w:val="22"/>
              </w:rPr>
              <w:t>Descriere proiect (Principalele lucrări și activități, in</w:t>
            </w:r>
          </w:p>
          <w:p w14:paraId="33CD02EA">
            <w:pPr>
              <w:kinsoku w:val="0"/>
              <w:overflowPunct w:val="0"/>
              <w:autoSpaceDE w:val="0"/>
              <w:autoSpaceDN w:val="0"/>
              <w:adjustRightInd w:val="0"/>
              <w:spacing w:line="276" w:lineRule="auto"/>
              <w:ind w:left="105"/>
              <w:rPr>
                <w:rFonts w:cs="Arial"/>
                <w:sz w:val="22"/>
              </w:rPr>
            </w:pPr>
            <w:r>
              <w:rPr>
                <w:rFonts w:cs="Arial"/>
                <w:sz w:val="22"/>
              </w:rPr>
              <w:t>câteva fraze)</w:t>
            </w:r>
          </w:p>
        </w:tc>
        <w:tc>
          <w:tcPr>
            <w:tcW w:w="3910" w:type="dxa"/>
            <w:tcBorders>
              <w:top w:val="single" w:color="000000" w:sz="4" w:space="0"/>
              <w:left w:val="single" w:color="000000" w:sz="4" w:space="0"/>
              <w:bottom w:val="single" w:color="000000" w:sz="4" w:space="0"/>
              <w:right w:val="single" w:color="000000" w:sz="4" w:space="0"/>
            </w:tcBorders>
          </w:tcPr>
          <w:p w14:paraId="1DD2FE38">
            <w:pPr>
              <w:kinsoku w:val="0"/>
              <w:overflowPunct w:val="0"/>
              <w:autoSpaceDE w:val="0"/>
              <w:autoSpaceDN w:val="0"/>
              <w:adjustRightInd w:val="0"/>
              <w:spacing w:line="276" w:lineRule="auto"/>
              <w:rPr>
                <w:rFonts w:cs="Arial"/>
                <w:sz w:val="22"/>
              </w:rPr>
            </w:pPr>
          </w:p>
        </w:tc>
      </w:tr>
      <w:tr w14:paraId="62C3EA6C">
        <w:tblPrEx>
          <w:tblCellMar>
            <w:top w:w="0" w:type="dxa"/>
            <w:left w:w="0" w:type="dxa"/>
            <w:bottom w:w="0" w:type="dxa"/>
            <w:right w:w="0" w:type="dxa"/>
          </w:tblCellMar>
        </w:tblPrEx>
        <w:trPr>
          <w:trHeight w:val="1396" w:hRule="atLeast"/>
        </w:trPr>
        <w:tc>
          <w:tcPr>
            <w:tcW w:w="535" w:type="dxa"/>
            <w:tcBorders>
              <w:top w:val="single" w:color="000000" w:sz="4" w:space="0"/>
              <w:left w:val="single" w:color="000000" w:sz="4" w:space="0"/>
              <w:bottom w:val="single" w:color="000000" w:sz="4" w:space="0"/>
              <w:right w:val="single" w:color="000000" w:sz="4" w:space="0"/>
            </w:tcBorders>
          </w:tcPr>
          <w:p w14:paraId="49EFBF1A">
            <w:pPr>
              <w:kinsoku w:val="0"/>
              <w:overflowPunct w:val="0"/>
              <w:autoSpaceDE w:val="0"/>
              <w:autoSpaceDN w:val="0"/>
              <w:adjustRightInd w:val="0"/>
              <w:spacing w:line="276" w:lineRule="auto"/>
              <w:ind w:left="107"/>
              <w:rPr>
                <w:rFonts w:cs="Arial"/>
                <w:sz w:val="22"/>
              </w:rPr>
            </w:pPr>
            <w:r>
              <w:rPr>
                <w:rFonts w:cs="Arial"/>
                <w:sz w:val="22"/>
              </w:rPr>
              <w:t>55</w:t>
            </w:r>
          </w:p>
        </w:tc>
        <w:tc>
          <w:tcPr>
            <w:tcW w:w="4878" w:type="dxa"/>
            <w:tcBorders>
              <w:top w:val="single" w:color="000000" w:sz="4" w:space="0"/>
              <w:left w:val="single" w:color="000000" w:sz="4" w:space="0"/>
              <w:bottom w:val="single" w:color="000000" w:sz="4" w:space="0"/>
              <w:right w:val="single" w:color="000000" w:sz="4" w:space="0"/>
            </w:tcBorders>
          </w:tcPr>
          <w:p w14:paraId="0D831EEA">
            <w:pPr>
              <w:kinsoku w:val="0"/>
              <w:overflowPunct w:val="0"/>
              <w:autoSpaceDE w:val="0"/>
              <w:autoSpaceDN w:val="0"/>
              <w:adjustRightInd w:val="0"/>
              <w:spacing w:line="276" w:lineRule="auto"/>
              <w:ind w:left="105"/>
              <w:rPr>
                <w:rFonts w:cs="Arial"/>
                <w:sz w:val="22"/>
              </w:rPr>
            </w:pPr>
            <w:r>
              <w:rPr>
                <w:rFonts w:cs="Arial"/>
                <w:sz w:val="22"/>
              </w:rPr>
              <w:t>Rezultate estimate (Se vor corela cu activitățile și cu</w:t>
            </w:r>
          </w:p>
          <w:p w14:paraId="7A45C202">
            <w:pPr>
              <w:kinsoku w:val="0"/>
              <w:overflowPunct w:val="0"/>
              <w:autoSpaceDE w:val="0"/>
              <w:autoSpaceDN w:val="0"/>
              <w:adjustRightInd w:val="0"/>
              <w:spacing w:line="276" w:lineRule="auto"/>
              <w:ind w:left="105"/>
              <w:rPr>
                <w:rFonts w:cs="Arial"/>
                <w:sz w:val="22"/>
              </w:rPr>
            </w:pPr>
            <w:r>
              <w:rPr>
                <w:rFonts w:cs="Arial"/>
                <w:sz w:val="22"/>
              </w:rPr>
              <w:t>indicatorii priorității la care se aplică)</w:t>
            </w:r>
          </w:p>
        </w:tc>
        <w:tc>
          <w:tcPr>
            <w:tcW w:w="3910" w:type="dxa"/>
            <w:tcBorders>
              <w:top w:val="single" w:color="000000" w:sz="4" w:space="0"/>
              <w:left w:val="single" w:color="000000" w:sz="4" w:space="0"/>
              <w:bottom w:val="single" w:color="000000" w:sz="4" w:space="0"/>
              <w:right w:val="single" w:color="000000" w:sz="4" w:space="0"/>
            </w:tcBorders>
          </w:tcPr>
          <w:p w14:paraId="49948BCC">
            <w:pPr>
              <w:kinsoku w:val="0"/>
              <w:overflowPunct w:val="0"/>
              <w:autoSpaceDE w:val="0"/>
              <w:autoSpaceDN w:val="0"/>
              <w:adjustRightInd w:val="0"/>
              <w:spacing w:line="276" w:lineRule="auto"/>
              <w:rPr>
                <w:rFonts w:cs="Arial"/>
                <w:sz w:val="22"/>
              </w:rPr>
            </w:pPr>
          </w:p>
        </w:tc>
      </w:tr>
      <w:tr w14:paraId="16A517A1">
        <w:tblPrEx>
          <w:tblCellMar>
            <w:top w:w="0" w:type="dxa"/>
            <w:left w:w="0" w:type="dxa"/>
            <w:bottom w:w="0" w:type="dxa"/>
            <w:right w:w="0" w:type="dxa"/>
          </w:tblCellMar>
        </w:tblPrEx>
        <w:trPr>
          <w:trHeight w:val="865" w:hRule="atLeast"/>
        </w:trPr>
        <w:tc>
          <w:tcPr>
            <w:tcW w:w="535" w:type="dxa"/>
            <w:tcBorders>
              <w:top w:val="single" w:color="000000" w:sz="4" w:space="0"/>
              <w:left w:val="single" w:color="000000" w:sz="4" w:space="0"/>
              <w:bottom w:val="single" w:color="000000" w:sz="4" w:space="0"/>
              <w:right w:val="single" w:color="000000" w:sz="4" w:space="0"/>
            </w:tcBorders>
          </w:tcPr>
          <w:p w14:paraId="11051EDC">
            <w:pPr>
              <w:kinsoku w:val="0"/>
              <w:overflowPunct w:val="0"/>
              <w:autoSpaceDE w:val="0"/>
              <w:autoSpaceDN w:val="0"/>
              <w:adjustRightInd w:val="0"/>
              <w:spacing w:line="276" w:lineRule="auto"/>
              <w:ind w:left="32" w:right="171"/>
              <w:jc w:val="center"/>
              <w:rPr>
                <w:rFonts w:cs="Arial"/>
                <w:sz w:val="22"/>
              </w:rPr>
            </w:pPr>
            <w:r>
              <w:rPr>
                <w:rFonts w:cs="Arial"/>
                <w:sz w:val="22"/>
              </w:rPr>
              <w:t>66</w:t>
            </w:r>
          </w:p>
        </w:tc>
        <w:tc>
          <w:tcPr>
            <w:tcW w:w="4878" w:type="dxa"/>
            <w:tcBorders>
              <w:top w:val="single" w:color="000000" w:sz="4" w:space="0"/>
              <w:left w:val="single" w:color="000000" w:sz="4" w:space="0"/>
              <w:bottom w:val="single" w:color="000000" w:sz="4" w:space="0"/>
              <w:right w:val="single" w:color="000000" w:sz="4" w:space="0"/>
            </w:tcBorders>
          </w:tcPr>
          <w:p w14:paraId="0C7D8770">
            <w:pPr>
              <w:kinsoku w:val="0"/>
              <w:overflowPunct w:val="0"/>
              <w:autoSpaceDE w:val="0"/>
              <w:autoSpaceDN w:val="0"/>
              <w:adjustRightInd w:val="0"/>
              <w:spacing w:line="276" w:lineRule="auto"/>
              <w:ind w:left="105"/>
              <w:rPr>
                <w:rFonts w:cs="Arial"/>
                <w:sz w:val="22"/>
              </w:rPr>
            </w:pPr>
            <w:r>
              <w:rPr>
                <w:rFonts w:cs="Arial"/>
                <w:sz w:val="22"/>
              </w:rPr>
              <w:t>Sursele de finanțare identificate</w:t>
            </w:r>
          </w:p>
          <w:p w14:paraId="46C178ED">
            <w:pPr>
              <w:kinsoku w:val="0"/>
              <w:overflowPunct w:val="0"/>
              <w:autoSpaceDE w:val="0"/>
              <w:autoSpaceDN w:val="0"/>
              <w:adjustRightInd w:val="0"/>
              <w:spacing w:line="276" w:lineRule="auto"/>
              <w:ind w:left="105" w:right="168"/>
              <w:rPr>
                <w:rFonts w:cs="Arial"/>
                <w:sz w:val="22"/>
              </w:rPr>
            </w:pPr>
            <w:r>
              <w:rPr>
                <w:rFonts w:cs="Arial"/>
                <w:sz w:val="22"/>
              </w:rPr>
              <w:t>Încadrarea ideii de proiect în cadrul priorității P7- Dezvoltare teritoriala sustenabila a PR SV Oltenia 2021- 2027</w:t>
            </w:r>
          </w:p>
        </w:tc>
        <w:tc>
          <w:tcPr>
            <w:tcW w:w="3910" w:type="dxa"/>
            <w:tcBorders>
              <w:top w:val="single" w:color="000000" w:sz="4" w:space="0"/>
              <w:left w:val="single" w:color="000000" w:sz="4" w:space="0"/>
              <w:bottom w:val="single" w:color="000000" w:sz="4" w:space="0"/>
              <w:right w:val="single" w:color="000000" w:sz="4" w:space="0"/>
            </w:tcBorders>
          </w:tcPr>
          <w:p w14:paraId="07490081">
            <w:pPr>
              <w:tabs>
                <w:tab w:val="left" w:pos="1848"/>
              </w:tabs>
              <w:spacing w:line="276" w:lineRule="auto"/>
              <w:rPr>
                <w:rFonts w:cs="Arial"/>
                <w:sz w:val="22"/>
              </w:rPr>
            </w:pPr>
          </w:p>
        </w:tc>
      </w:tr>
      <w:tr w14:paraId="3673A840">
        <w:tblPrEx>
          <w:tblCellMar>
            <w:top w:w="0" w:type="dxa"/>
            <w:left w:w="0" w:type="dxa"/>
            <w:bottom w:w="0" w:type="dxa"/>
            <w:right w:w="0" w:type="dxa"/>
          </w:tblCellMar>
        </w:tblPrEx>
        <w:trPr>
          <w:trHeight w:val="1074" w:hRule="atLeast"/>
        </w:trPr>
        <w:tc>
          <w:tcPr>
            <w:tcW w:w="535" w:type="dxa"/>
            <w:tcBorders>
              <w:top w:val="single" w:color="000000" w:sz="4" w:space="0"/>
              <w:left w:val="single" w:color="000000" w:sz="4" w:space="0"/>
              <w:bottom w:val="single" w:color="000000" w:sz="4" w:space="0"/>
              <w:right w:val="single" w:color="000000" w:sz="4" w:space="0"/>
            </w:tcBorders>
          </w:tcPr>
          <w:p w14:paraId="568828E5">
            <w:pPr>
              <w:kinsoku w:val="0"/>
              <w:overflowPunct w:val="0"/>
              <w:autoSpaceDE w:val="0"/>
              <w:autoSpaceDN w:val="0"/>
              <w:adjustRightInd w:val="0"/>
              <w:spacing w:before="1" w:line="276" w:lineRule="auto"/>
              <w:ind w:left="32" w:right="171"/>
              <w:jc w:val="center"/>
              <w:rPr>
                <w:rFonts w:cs="Arial"/>
                <w:sz w:val="22"/>
              </w:rPr>
            </w:pPr>
            <w:r>
              <w:rPr>
                <w:rFonts w:cs="Arial"/>
                <w:sz w:val="22"/>
              </w:rPr>
              <w:t>77</w:t>
            </w:r>
          </w:p>
        </w:tc>
        <w:tc>
          <w:tcPr>
            <w:tcW w:w="4878" w:type="dxa"/>
            <w:tcBorders>
              <w:top w:val="single" w:color="000000" w:sz="4" w:space="0"/>
              <w:left w:val="single" w:color="000000" w:sz="4" w:space="0"/>
              <w:bottom w:val="single" w:color="000000" w:sz="4" w:space="0"/>
              <w:right w:val="single" w:color="000000" w:sz="4" w:space="0"/>
            </w:tcBorders>
          </w:tcPr>
          <w:p w14:paraId="4095B5E1">
            <w:pPr>
              <w:kinsoku w:val="0"/>
              <w:overflowPunct w:val="0"/>
              <w:autoSpaceDE w:val="0"/>
              <w:autoSpaceDN w:val="0"/>
              <w:adjustRightInd w:val="0"/>
              <w:spacing w:before="1" w:line="276" w:lineRule="auto"/>
              <w:ind w:left="105"/>
              <w:rPr>
                <w:rFonts w:cs="Arial"/>
                <w:sz w:val="22"/>
              </w:rPr>
            </w:pPr>
            <w:r>
              <w:rPr>
                <w:rFonts w:cs="Arial"/>
                <w:sz w:val="22"/>
              </w:rPr>
              <w:t>Gradul de maturitate al proiectului (Studiu de</w:t>
            </w:r>
          </w:p>
          <w:p w14:paraId="4A6F46AA">
            <w:pPr>
              <w:kinsoku w:val="0"/>
              <w:overflowPunct w:val="0"/>
              <w:autoSpaceDE w:val="0"/>
              <w:autoSpaceDN w:val="0"/>
              <w:adjustRightInd w:val="0"/>
              <w:spacing w:line="276" w:lineRule="auto"/>
              <w:ind w:left="105" w:right="219"/>
              <w:rPr>
                <w:rFonts w:cs="Arial"/>
                <w:sz w:val="22"/>
              </w:rPr>
            </w:pPr>
            <w:r>
              <w:rPr>
                <w:rFonts w:cs="Arial"/>
                <w:sz w:val="22"/>
              </w:rPr>
              <w:t>prefezabilitate/ Studiu de fezabilitate/ Proiect tehnic și detalii de execuție/ Studii de trafic/ Studii de</w:t>
            </w:r>
          </w:p>
          <w:p w14:paraId="29F6BE00">
            <w:pPr>
              <w:kinsoku w:val="0"/>
              <w:overflowPunct w:val="0"/>
              <w:autoSpaceDE w:val="0"/>
              <w:autoSpaceDN w:val="0"/>
              <w:adjustRightInd w:val="0"/>
              <w:spacing w:line="276" w:lineRule="auto"/>
              <w:ind w:left="105"/>
              <w:rPr>
                <w:rFonts w:cs="Arial"/>
                <w:sz w:val="22"/>
              </w:rPr>
            </w:pPr>
            <w:r>
              <w:rPr>
                <w:rFonts w:cs="Arial"/>
                <w:sz w:val="22"/>
              </w:rPr>
              <w:t>marketing/ Sondaje/ Alte studii)</w:t>
            </w:r>
          </w:p>
        </w:tc>
        <w:tc>
          <w:tcPr>
            <w:tcW w:w="3910" w:type="dxa"/>
            <w:tcBorders>
              <w:top w:val="single" w:color="000000" w:sz="4" w:space="0"/>
              <w:left w:val="single" w:color="000000" w:sz="4" w:space="0"/>
              <w:bottom w:val="single" w:color="000000" w:sz="4" w:space="0"/>
              <w:right w:val="single" w:color="000000" w:sz="4" w:space="0"/>
            </w:tcBorders>
          </w:tcPr>
          <w:p w14:paraId="79E3E275">
            <w:pPr>
              <w:kinsoku w:val="0"/>
              <w:overflowPunct w:val="0"/>
              <w:autoSpaceDE w:val="0"/>
              <w:autoSpaceDN w:val="0"/>
              <w:adjustRightInd w:val="0"/>
              <w:spacing w:line="276" w:lineRule="auto"/>
              <w:rPr>
                <w:rFonts w:cs="Arial"/>
                <w:sz w:val="22"/>
              </w:rPr>
            </w:pPr>
          </w:p>
        </w:tc>
      </w:tr>
      <w:tr w14:paraId="321CB105">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0E0A81EF">
            <w:pPr>
              <w:kinsoku w:val="0"/>
              <w:overflowPunct w:val="0"/>
              <w:autoSpaceDE w:val="0"/>
              <w:autoSpaceDN w:val="0"/>
              <w:adjustRightInd w:val="0"/>
              <w:spacing w:line="276" w:lineRule="auto"/>
              <w:ind w:left="32" w:right="171"/>
              <w:jc w:val="center"/>
              <w:rPr>
                <w:rFonts w:cs="Arial"/>
                <w:sz w:val="22"/>
              </w:rPr>
            </w:pPr>
            <w:r>
              <w:rPr>
                <w:rFonts w:cs="Arial"/>
                <w:sz w:val="22"/>
              </w:rPr>
              <w:t>88</w:t>
            </w:r>
          </w:p>
        </w:tc>
        <w:tc>
          <w:tcPr>
            <w:tcW w:w="4878" w:type="dxa"/>
            <w:tcBorders>
              <w:top w:val="single" w:color="000000" w:sz="4" w:space="0"/>
              <w:left w:val="single" w:color="000000" w:sz="4" w:space="0"/>
              <w:bottom w:val="single" w:color="000000" w:sz="4" w:space="0"/>
              <w:right w:val="single" w:color="000000" w:sz="4" w:space="0"/>
            </w:tcBorders>
          </w:tcPr>
          <w:p w14:paraId="442769C4">
            <w:pPr>
              <w:kinsoku w:val="0"/>
              <w:overflowPunct w:val="0"/>
              <w:autoSpaceDE w:val="0"/>
              <w:autoSpaceDN w:val="0"/>
              <w:adjustRightInd w:val="0"/>
              <w:spacing w:line="276" w:lineRule="auto"/>
              <w:ind w:left="105"/>
              <w:rPr>
                <w:rFonts w:cs="Arial"/>
                <w:sz w:val="22"/>
              </w:rPr>
            </w:pPr>
            <w:r>
              <w:rPr>
                <w:rFonts w:cs="Arial"/>
                <w:sz w:val="22"/>
              </w:rPr>
              <w:t>Calendar orientativ (durata proiectului și perioada</w:t>
            </w:r>
          </w:p>
          <w:p w14:paraId="37116A08">
            <w:pPr>
              <w:kinsoku w:val="0"/>
              <w:overflowPunct w:val="0"/>
              <w:autoSpaceDE w:val="0"/>
              <w:autoSpaceDN w:val="0"/>
              <w:adjustRightInd w:val="0"/>
              <w:spacing w:line="276" w:lineRule="auto"/>
              <w:ind w:left="105"/>
              <w:rPr>
                <w:rFonts w:cs="Arial"/>
                <w:sz w:val="22"/>
              </w:rPr>
            </w:pPr>
            <w:r>
              <w:rPr>
                <w:rFonts w:cs="Arial"/>
                <w:sz w:val="22"/>
              </w:rPr>
              <w:t>estimată de punere în aplicare)</w:t>
            </w:r>
          </w:p>
        </w:tc>
        <w:tc>
          <w:tcPr>
            <w:tcW w:w="3910" w:type="dxa"/>
            <w:tcBorders>
              <w:top w:val="single" w:color="000000" w:sz="4" w:space="0"/>
              <w:left w:val="single" w:color="000000" w:sz="4" w:space="0"/>
              <w:bottom w:val="single" w:color="000000" w:sz="4" w:space="0"/>
              <w:right w:val="single" w:color="000000" w:sz="4" w:space="0"/>
            </w:tcBorders>
          </w:tcPr>
          <w:p w14:paraId="321D88FA">
            <w:pPr>
              <w:kinsoku w:val="0"/>
              <w:overflowPunct w:val="0"/>
              <w:autoSpaceDE w:val="0"/>
              <w:autoSpaceDN w:val="0"/>
              <w:adjustRightInd w:val="0"/>
              <w:spacing w:line="276" w:lineRule="auto"/>
              <w:rPr>
                <w:rFonts w:cs="Arial"/>
                <w:sz w:val="22"/>
              </w:rPr>
            </w:pPr>
          </w:p>
        </w:tc>
      </w:tr>
      <w:tr w14:paraId="6CAE5D01">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11BFCA43">
            <w:pPr>
              <w:kinsoku w:val="0"/>
              <w:overflowPunct w:val="0"/>
              <w:autoSpaceDE w:val="0"/>
              <w:autoSpaceDN w:val="0"/>
              <w:adjustRightInd w:val="0"/>
              <w:spacing w:line="276" w:lineRule="auto"/>
              <w:ind w:left="32" w:right="171"/>
              <w:jc w:val="center"/>
              <w:rPr>
                <w:rFonts w:cs="Arial"/>
                <w:sz w:val="22"/>
              </w:rPr>
            </w:pPr>
            <w:r>
              <w:rPr>
                <w:rFonts w:cs="Arial"/>
                <w:sz w:val="22"/>
              </w:rPr>
              <w:t>99</w:t>
            </w:r>
          </w:p>
        </w:tc>
        <w:tc>
          <w:tcPr>
            <w:tcW w:w="4878" w:type="dxa"/>
            <w:tcBorders>
              <w:top w:val="single" w:color="000000" w:sz="4" w:space="0"/>
              <w:left w:val="single" w:color="000000" w:sz="4" w:space="0"/>
              <w:bottom w:val="single" w:color="000000" w:sz="4" w:space="0"/>
              <w:right w:val="single" w:color="000000" w:sz="4" w:space="0"/>
            </w:tcBorders>
          </w:tcPr>
          <w:p w14:paraId="05BF1DB9">
            <w:pPr>
              <w:kinsoku w:val="0"/>
              <w:overflowPunct w:val="0"/>
              <w:autoSpaceDE w:val="0"/>
              <w:autoSpaceDN w:val="0"/>
              <w:adjustRightInd w:val="0"/>
              <w:spacing w:line="276" w:lineRule="auto"/>
              <w:ind w:left="105"/>
              <w:rPr>
                <w:rFonts w:cs="Arial"/>
                <w:sz w:val="22"/>
              </w:rPr>
            </w:pPr>
            <w:r>
              <w:rPr>
                <w:rFonts w:cs="Arial"/>
                <w:sz w:val="22"/>
              </w:rPr>
              <w:t>Bugetul estimat al investiției si sustenabilitatea</w:t>
            </w:r>
          </w:p>
          <w:p w14:paraId="0FE3EA39">
            <w:pPr>
              <w:kinsoku w:val="0"/>
              <w:overflowPunct w:val="0"/>
              <w:autoSpaceDE w:val="0"/>
              <w:autoSpaceDN w:val="0"/>
              <w:adjustRightInd w:val="0"/>
              <w:spacing w:line="276" w:lineRule="auto"/>
              <w:ind w:left="105"/>
              <w:rPr>
                <w:rFonts w:cs="Arial"/>
                <w:sz w:val="22"/>
              </w:rPr>
            </w:pPr>
            <w:r>
              <w:rPr>
                <w:rFonts w:cs="Arial"/>
                <w:sz w:val="22"/>
              </w:rPr>
              <w:t>financiara a proiectului</w:t>
            </w:r>
          </w:p>
        </w:tc>
        <w:tc>
          <w:tcPr>
            <w:tcW w:w="3910" w:type="dxa"/>
            <w:tcBorders>
              <w:top w:val="single" w:color="000000" w:sz="4" w:space="0"/>
              <w:left w:val="single" w:color="000000" w:sz="4" w:space="0"/>
              <w:bottom w:val="single" w:color="000000" w:sz="4" w:space="0"/>
              <w:right w:val="single" w:color="000000" w:sz="4" w:space="0"/>
            </w:tcBorders>
          </w:tcPr>
          <w:p w14:paraId="359D4009">
            <w:pPr>
              <w:kinsoku w:val="0"/>
              <w:overflowPunct w:val="0"/>
              <w:autoSpaceDE w:val="0"/>
              <w:autoSpaceDN w:val="0"/>
              <w:adjustRightInd w:val="0"/>
              <w:spacing w:line="276" w:lineRule="auto"/>
              <w:rPr>
                <w:rFonts w:cs="Arial"/>
                <w:sz w:val="22"/>
              </w:rPr>
            </w:pPr>
          </w:p>
        </w:tc>
      </w:tr>
      <w:tr w14:paraId="6781A876">
        <w:tblPrEx>
          <w:tblCellMar>
            <w:top w:w="0" w:type="dxa"/>
            <w:left w:w="0" w:type="dxa"/>
            <w:bottom w:w="0" w:type="dxa"/>
            <w:right w:w="0" w:type="dxa"/>
          </w:tblCellMar>
        </w:tblPrEx>
        <w:trPr>
          <w:trHeight w:val="453" w:hRule="atLeast"/>
        </w:trPr>
        <w:tc>
          <w:tcPr>
            <w:tcW w:w="535" w:type="dxa"/>
            <w:tcBorders>
              <w:top w:val="single" w:color="000000" w:sz="4" w:space="0"/>
              <w:left w:val="single" w:color="000000" w:sz="4" w:space="0"/>
              <w:bottom w:val="single" w:color="000000" w:sz="4" w:space="0"/>
              <w:right w:val="single" w:color="000000" w:sz="4" w:space="0"/>
            </w:tcBorders>
          </w:tcPr>
          <w:p w14:paraId="7832D0FE">
            <w:pPr>
              <w:kinsoku w:val="0"/>
              <w:overflowPunct w:val="0"/>
              <w:autoSpaceDE w:val="0"/>
              <w:autoSpaceDN w:val="0"/>
              <w:adjustRightInd w:val="0"/>
              <w:spacing w:line="276" w:lineRule="auto"/>
              <w:ind w:left="89" w:right="170"/>
              <w:jc w:val="center"/>
              <w:rPr>
                <w:rFonts w:cs="Arial"/>
                <w:sz w:val="22"/>
              </w:rPr>
            </w:pPr>
            <w:r>
              <w:rPr>
                <w:rFonts w:cs="Arial"/>
                <w:sz w:val="22"/>
              </w:rPr>
              <w:t>110</w:t>
            </w:r>
          </w:p>
        </w:tc>
        <w:tc>
          <w:tcPr>
            <w:tcW w:w="4878" w:type="dxa"/>
            <w:tcBorders>
              <w:top w:val="single" w:color="000000" w:sz="4" w:space="0"/>
              <w:left w:val="single" w:color="000000" w:sz="4" w:space="0"/>
              <w:bottom w:val="single" w:color="000000" w:sz="4" w:space="0"/>
              <w:right w:val="single" w:color="000000" w:sz="4" w:space="0"/>
            </w:tcBorders>
          </w:tcPr>
          <w:p w14:paraId="50889430">
            <w:pPr>
              <w:kinsoku w:val="0"/>
              <w:overflowPunct w:val="0"/>
              <w:autoSpaceDE w:val="0"/>
              <w:autoSpaceDN w:val="0"/>
              <w:adjustRightInd w:val="0"/>
              <w:spacing w:line="276" w:lineRule="auto"/>
              <w:ind w:left="105"/>
              <w:rPr>
                <w:rFonts w:cs="Arial"/>
                <w:sz w:val="22"/>
              </w:rPr>
            </w:pPr>
            <w:r>
              <w:rPr>
                <w:rFonts w:cs="Arial"/>
                <w:sz w:val="22"/>
              </w:rPr>
              <w:t>Contribuția proiectului la dezvoltarea durabila</w:t>
            </w:r>
          </w:p>
        </w:tc>
        <w:tc>
          <w:tcPr>
            <w:tcW w:w="3910" w:type="dxa"/>
            <w:tcBorders>
              <w:top w:val="single" w:color="000000" w:sz="4" w:space="0"/>
              <w:left w:val="single" w:color="000000" w:sz="4" w:space="0"/>
              <w:bottom w:val="single" w:color="000000" w:sz="4" w:space="0"/>
              <w:right w:val="single" w:color="000000" w:sz="4" w:space="0"/>
            </w:tcBorders>
          </w:tcPr>
          <w:p w14:paraId="22A9CF47">
            <w:pPr>
              <w:kinsoku w:val="0"/>
              <w:overflowPunct w:val="0"/>
              <w:autoSpaceDE w:val="0"/>
              <w:autoSpaceDN w:val="0"/>
              <w:adjustRightInd w:val="0"/>
              <w:spacing w:line="276" w:lineRule="auto"/>
              <w:rPr>
                <w:rFonts w:cs="Arial"/>
                <w:sz w:val="22"/>
              </w:rPr>
            </w:pPr>
          </w:p>
        </w:tc>
      </w:tr>
      <w:tr w14:paraId="120AFDBD">
        <w:tblPrEx>
          <w:tblCellMar>
            <w:top w:w="0" w:type="dxa"/>
            <w:left w:w="0" w:type="dxa"/>
            <w:bottom w:w="0" w:type="dxa"/>
            <w:right w:w="0" w:type="dxa"/>
          </w:tblCellMar>
        </w:tblPrEx>
        <w:trPr>
          <w:trHeight w:val="950" w:hRule="atLeast"/>
        </w:trPr>
        <w:tc>
          <w:tcPr>
            <w:tcW w:w="535" w:type="dxa"/>
            <w:tcBorders>
              <w:top w:val="single" w:color="000000" w:sz="4" w:space="0"/>
              <w:left w:val="single" w:color="000000" w:sz="4" w:space="0"/>
              <w:bottom w:val="single" w:color="000000" w:sz="4" w:space="0"/>
              <w:right w:val="single" w:color="000000" w:sz="4" w:space="0"/>
            </w:tcBorders>
          </w:tcPr>
          <w:p w14:paraId="7428B69E">
            <w:pPr>
              <w:kinsoku w:val="0"/>
              <w:overflowPunct w:val="0"/>
              <w:autoSpaceDE w:val="0"/>
              <w:autoSpaceDN w:val="0"/>
              <w:adjustRightInd w:val="0"/>
              <w:spacing w:line="276" w:lineRule="auto"/>
              <w:ind w:left="89" w:right="170"/>
              <w:jc w:val="center"/>
              <w:rPr>
                <w:rFonts w:cs="Arial"/>
                <w:sz w:val="22"/>
              </w:rPr>
            </w:pPr>
            <w:r>
              <w:rPr>
                <w:rFonts w:cs="Arial"/>
                <w:sz w:val="22"/>
              </w:rPr>
              <w:t>111</w:t>
            </w:r>
          </w:p>
        </w:tc>
        <w:tc>
          <w:tcPr>
            <w:tcW w:w="4878" w:type="dxa"/>
            <w:tcBorders>
              <w:top w:val="single" w:color="000000" w:sz="4" w:space="0"/>
              <w:left w:val="single" w:color="000000" w:sz="4" w:space="0"/>
              <w:bottom w:val="single" w:color="000000" w:sz="4" w:space="0"/>
              <w:right w:val="single" w:color="000000" w:sz="4" w:space="0"/>
            </w:tcBorders>
          </w:tcPr>
          <w:p w14:paraId="58F2BFFC">
            <w:pPr>
              <w:kinsoku w:val="0"/>
              <w:overflowPunct w:val="0"/>
              <w:autoSpaceDE w:val="0"/>
              <w:autoSpaceDN w:val="0"/>
              <w:adjustRightInd w:val="0"/>
              <w:spacing w:line="276" w:lineRule="auto"/>
              <w:ind w:left="105" w:right="234"/>
              <w:rPr>
                <w:rFonts w:cs="Arial"/>
                <w:sz w:val="22"/>
              </w:rPr>
            </w:pPr>
            <w:r>
              <w:rPr>
                <w:rFonts w:cs="Arial"/>
                <w:sz w:val="22"/>
              </w:rPr>
              <w:t>Ideea de proiect permite aspecte legate de principiile privind dezvoltarea durabilă, accesibilitatea, egalitatea de șanse, gen și nediscriminarea</w:t>
            </w:r>
          </w:p>
        </w:tc>
        <w:tc>
          <w:tcPr>
            <w:tcW w:w="3910" w:type="dxa"/>
            <w:tcBorders>
              <w:top w:val="single" w:color="000000" w:sz="4" w:space="0"/>
              <w:left w:val="single" w:color="000000" w:sz="4" w:space="0"/>
              <w:bottom w:val="single" w:color="000000" w:sz="4" w:space="0"/>
              <w:right w:val="single" w:color="000000" w:sz="4" w:space="0"/>
            </w:tcBorders>
          </w:tcPr>
          <w:p w14:paraId="73BC18A9">
            <w:pPr>
              <w:kinsoku w:val="0"/>
              <w:overflowPunct w:val="0"/>
              <w:autoSpaceDE w:val="0"/>
              <w:autoSpaceDN w:val="0"/>
              <w:adjustRightInd w:val="0"/>
              <w:spacing w:line="276" w:lineRule="auto"/>
              <w:rPr>
                <w:rFonts w:cs="Arial"/>
                <w:sz w:val="22"/>
              </w:rPr>
            </w:pPr>
          </w:p>
        </w:tc>
      </w:tr>
      <w:tr w14:paraId="1A67B259">
        <w:tblPrEx>
          <w:tblCellMar>
            <w:top w:w="0" w:type="dxa"/>
            <w:left w:w="0" w:type="dxa"/>
            <w:bottom w:w="0" w:type="dxa"/>
            <w:right w:w="0" w:type="dxa"/>
          </w:tblCellMar>
        </w:tblPrEx>
        <w:trPr>
          <w:trHeight w:val="445" w:hRule="atLeast"/>
        </w:trPr>
        <w:tc>
          <w:tcPr>
            <w:tcW w:w="535" w:type="dxa"/>
            <w:tcBorders>
              <w:top w:val="single" w:color="000000" w:sz="4" w:space="0"/>
              <w:left w:val="single" w:color="000000" w:sz="4" w:space="0"/>
              <w:bottom w:val="single" w:color="000000" w:sz="4" w:space="0"/>
              <w:right w:val="single" w:color="000000" w:sz="4" w:space="0"/>
            </w:tcBorders>
          </w:tcPr>
          <w:p w14:paraId="4AB4F62E">
            <w:pPr>
              <w:kinsoku w:val="0"/>
              <w:overflowPunct w:val="0"/>
              <w:autoSpaceDE w:val="0"/>
              <w:autoSpaceDN w:val="0"/>
              <w:adjustRightInd w:val="0"/>
              <w:spacing w:line="276" w:lineRule="auto"/>
              <w:ind w:left="89" w:right="170"/>
              <w:jc w:val="center"/>
              <w:rPr>
                <w:rFonts w:cs="Arial"/>
                <w:sz w:val="22"/>
              </w:rPr>
            </w:pPr>
            <w:r>
              <w:rPr>
                <w:rFonts w:cs="Arial"/>
                <w:sz w:val="22"/>
              </w:rPr>
              <w:t>112</w:t>
            </w:r>
          </w:p>
        </w:tc>
        <w:tc>
          <w:tcPr>
            <w:tcW w:w="4878" w:type="dxa"/>
            <w:tcBorders>
              <w:top w:val="single" w:color="000000" w:sz="4" w:space="0"/>
              <w:left w:val="single" w:color="000000" w:sz="4" w:space="0"/>
              <w:bottom w:val="single" w:color="000000" w:sz="4" w:space="0"/>
              <w:right w:val="single" w:color="000000" w:sz="4" w:space="0"/>
            </w:tcBorders>
          </w:tcPr>
          <w:p w14:paraId="1B55173C">
            <w:pPr>
              <w:kinsoku w:val="0"/>
              <w:overflowPunct w:val="0"/>
              <w:autoSpaceDE w:val="0"/>
              <w:autoSpaceDN w:val="0"/>
              <w:adjustRightInd w:val="0"/>
              <w:spacing w:line="276" w:lineRule="auto"/>
              <w:ind w:left="105"/>
              <w:rPr>
                <w:rFonts w:cs="Arial"/>
                <w:sz w:val="22"/>
              </w:rPr>
            </w:pPr>
            <w:r>
              <w:rPr>
                <w:rFonts w:cs="Arial"/>
                <w:sz w:val="22"/>
              </w:rPr>
              <w:t>Ideea de proiect are caracter integrat?</w:t>
            </w:r>
          </w:p>
        </w:tc>
        <w:tc>
          <w:tcPr>
            <w:tcW w:w="3910" w:type="dxa"/>
            <w:tcBorders>
              <w:top w:val="single" w:color="000000" w:sz="4" w:space="0"/>
              <w:left w:val="single" w:color="000000" w:sz="4" w:space="0"/>
              <w:bottom w:val="single" w:color="000000" w:sz="4" w:space="0"/>
              <w:right w:val="single" w:color="000000" w:sz="4" w:space="0"/>
            </w:tcBorders>
          </w:tcPr>
          <w:p w14:paraId="2A690814">
            <w:pPr>
              <w:kinsoku w:val="0"/>
              <w:overflowPunct w:val="0"/>
              <w:autoSpaceDE w:val="0"/>
              <w:autoSpaceDN w:val="0"/>
              <w:adjustRightInd w:val="0"/>
              <w:spacing w:line="276" w:lineRule="auto"/>
              <w:rPr>
                <w:rFonts w:cs="Arial"/>
                <w:sz w:val="22"/>
              </w:rPr>
            </w:pPr>
          </w:p>
        </w:tc>
      </w:tr>
      <w:tr w14:paraId="65E2126E">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1731B3F6">
            <w:pPr>
              <w:kinsoku w:val="0"/>
              <w:overflowPunct w:val="0"/>
              <w:autoSpaceDE w:val="0"/>
              <w:autoSpaceDN w:val="0"/>
              <w:adjustRightInd w:val="0"/>
              <w:spacing w:line="276" w:lineRule="auto"/>
              <w:ind w:left="89" w:right="115"/>
              <w:jc w:val="center"/>
              <w:rPr>
                <w:rFonts w:cs="Arial"/>
                <w:sz w:val="22"/>
              </w:rPr>
            </w:pPr>
            <w:r>
              <w:rPr>
                <w:rFonts w:cs="Arial"/>
                <w:sz w:val="22"/>
              </w:rPr>
              <w:t>113</w:t>
            </w:r>
          </w:p>
        </w:tc>
        <w:tc>
          <w:tcPr>
            <w:tcW w:w="4878" w:type="dxa"/>
            <w:tcBorders>
              <w:top w:val="single" w:color="000000" w:sz="4" w:space="0"/>
              <w:left w:val="single" w:color="000000" w:sz="4" w:space="0"/>
              <w:bottom w:val="single" w:color="000000" w:sz="4" w:space="0"/>
              <w:right w:val="single" w:color="000000" w:sz="4" w:space="0"/>
            </w:tcBorders>
          </w:tcPr>
          <w:p w14:paraId="68D19D9C">
            <w:pPr>
              <w:kinsoku w:val="0"/>
              <w:overflowPunct w:val="0"/>
              <w:autoSpaceDE w:val="0"/>
              <w:autoSpaceDN w:val="0"/>
              <w:adjustRightInd w:val="0"/>
              <w:spacing w:line="276" w:lineRule="auto"/>
              <w:ind w:left="105"/>
              <w:rPr>
                <w:rFonts w:cs="Arial"/>
                <w:sz w:val="22"/>
              </w:rPr>
            </w:pPr>
            <w:r>
              <w:rPr>
                <w:rFonts w:cs="Arial"/>
                <w:sz w:val="22"/>
              </w:rPr>
              <w:t>Alte informații relevante</w:t>
            </w:r>
          </w:p>
        </w:tc>
        <w:tc>
          <w:tcPr>
            <w:tcW w:w="3910" w:type="dxa"/>
            <w:tcBorders>
              <w:top w:val="single" w:color="000000" w:sz="4" w:space="0"/>
              <w:left w:val="single" w:color="000000" w:sz="4" w:space="0"/>
              <w:bottom w:val="single" w:color="000000" w:sz="4" w:space="0"/>
              <w:right w:val="single" w:color="000000" w:sz="4" w:space="0"/>
            </w:tcBorders>
          </w:tcPr>
          <w:p w14:paraId="0CD5170D">
            <w:pPr>
              <w:kinsoku w:val="0"/>
              <w:overflowPunct w:val="0"/>
              <w:autoSpaceDE w:val="0"/>
              <w:autoSpaceDN w:val="0"/>
              <w:adjustRightInd w:val="0"/>
              <w:spacing w:line="276" w:lineRule="auto"/>
              <w:rPr>
                <w:rFonts w:cs="Arial"/>
                <w:sz w:val="22"/>
              </w:rPr>
            </w:pPr>
          </w:p>
        </w:tc>
      </w:tr>
    </w:tbl>
    <w:p w14:paraId="2CE9F575">
      <w:pPr>
        <w:tabs>
          <w:tab w:val="left" w:pos="1663"/>
        </w:tabs>
        <w:jc w:val="center"/>
        <w:rPr>
          <w:rFonts w:cs="Arial"/>
          <w:sz w:val="22"/>
        </w:rPr>
      </w:pPr>
    </w:p>
    <w:p w14:paraId="267A47C5">
      <w:pPr>
        <w:tabs>
          <w:tab w:val="left" w:pos="1663"/>
        </w:tabs>
        <w:jc w:val="center"/>
        <w:rPr>
          <w:rFonts w:cs="Arial"/>
          <w:sz w:val="22"/>
        </w:rPr>
      </w:pPr>
    </w:p>
    <w:p w14:paraId="38B44D34">
      <w:pPr>
        <w:tabs>
          <w:tab w:val="left" w:pos="1663"/>
        </w:tabs>
        <w:ind w:firstLine="0"/>
        <w:rPr>
          <w:rFonts w:cs="Arial"/>
          <w:sz w:val="22"/>
        </w:rPr>
      </w:pPr>
    </w:p>
    <w:p w14:paraId="286E5FFB">
      <w:pPr>
        <w:tabs>
          <w:tab w:val="left" w:pos="1663"/>
        </w:tabs>
        <w:rPr>
          <w:rFonts w:cs="Arial"/>
          <w:sz w:val="22"/>
        </w:rPr>
      </w:pPr>
    </w:p>
    <w:tbl>
      <w:tblPr>
        <w:tblStyle w:val="12"/>
        <w:tblW w:w="9323" w:type="dxa"/>
        <w:tblInd w:w="111" w:type="dxa"/>
        <w:tblLayout w:type="fixed"/>
        <w:tblCellMar>
          <w:top w:w="0" w:type="dxa"/>
          <w:left w:w="0" w:type="dxa"/>
          <w:bottom w:w="0" w:type="dxa"/>
          <w:right w:w="0" w:type="dxa"/>
        </w:tblCellMar>
      </w:tblPr>
      <w:tblGrid>
        <w:gridCol w:w="535"/>
        <w:gridCol w:w="4594"/>
        <w:gridCol w:w="4194"/>
      </w:tblGrid>
      <w:tr w14:paraId="7C4FFF0F">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2D64E2DF">
            <w:pPr>
              <w:kinsoku w:val="0"/>
              <w:overflowPunct w:val="0"/>
              <w:autoSpaceDE w:val="0"/>
              <w:autoSpaceDN w:val="0"/>
              <w:adjustRightInd w:val="0"/>
              <w:spacing w:line="276" w:lineRule="auto"/>
              <w:ind w:left="107"/>
              <w:rPr>
                <w:rFonts w:cs="Arial"/>
                <w:sz w:val="22"/>
              </w:rPr>
            </w:pPr>
            <w:bookmarkStart w:id="99" w:name="_Hlk179459795"/>
            <w:r>
              <w:rPr>
                <w:rFonts w:cs="Arial"/>
                <w:sz w:val="22"/>
              </w:rPr>
              <w:t>11</w:t>
            </w:r>
          </w:p>
        </w:tc>
        <w:tc>
          <w:tcPr>
            <w:tcW w:w="4594" w:type="dxa"/>
            <w:tcBorders>
              <w:top w:val="single" w:color="000000" w:sz="4" w:space="0"/>
              <w:left w:val="single" w:color="000000" w:sz="4" w:space="0"/>
              <w:bottom w:val="single" w:color="000000" w:sz="4" w:space="0"/>
              <w:right w:val="single" w:color="000000" w:sz="4" w:space="0"/>
            </w:tcBorders>
          </w:tcPr>
          <w:p w14:paraId="126051D1">
            <w:pPr>
              <w:kinsoku w:val="0"/>
              <w:overflowPunct w:val="0"/>
              <w:autoSpaceDE w:val="0"/>
              <w:autoSpaceDN w:val="0"/>
              <w:adjustRightInd w:val="0"/>
              <w:spacing w:line="276" w:lineRule="auto"/>
              <w:ind w:left="105"/>
              <w:rPr>
                <w:rFonts w:cs="Arial"/>
                <w:b/>
                <w:bCs/>
                <w:sz w:val="22"/>
              </w:rPr>
            </w:pPr>
            <w:r>
              <w:rPr>
                <w:rFonts w:cs="Arial"/>
                <w:b/>
                <w:bCs/>
                <w:sz w:val="22"/>
              </w:rPr>
              <w:t>Titlul proiectului</w:t>
            </w:r>
          </w:p>
        </w:tc>
        <w:tc>
          <w:tcPr>
            <w:tcW w:w="4194" w:type="dxa"/>
            <w:tcBorders>
              <w:top w:val="single" w:color="000000" w:sz="4" w:space="0"/>
              <w:left w:val="single" w:color="000000" w:sz="4" w:space="0"/>
              <w:bottom w:val="single" w:color="000000" w:sz="4" w:space="0"/>
              <w:right w:val="single" w:color="000000" w:sz="4" w:space="0"/>
            </w:tcBorders>
          </w:tcPr>
          <w:p w14:paraId="142F795F">
            <w:pPr>
              <w:tabs>
                <w:tab w:val="left" w:pos="1461"/>
              </w:tabs>
              <w:spacing w:line="276" w:lineRule="auto"/>
              <w:rPr>
                <w:rFonts w:cs="Arial"/>
                <w:b/>
                <w:bCs/>
                <w:sz w:val="22"/>
              </w:rPr>
            </w:pPr>
          </w:p>
        </w:tc>
      </w:tr>
      <w:tr w14:paraId="1B74D0A9">
        <w:tblPrEx>
          <w:tblCellMar>
            <w:top w:w="0" w:type="dxa"/>
            <w:left w:w="0" w:type="dxa"/>
            <w:bottom w:w="0" w:type="dxa"/>
            <w:right w:w="0" w:type="dxa"/>
          </w:tblCellMar>
        </w:tblPrEx>
        <w:trPr>
          <w:trHeight w:val="268" w:hRule="atLeast"/>
        </w:trPr>
        <w:tc>
          <w:tcPr>
            <w:tcW w:w="535" w:type="dxa"/>
            <w:tcBorders>
              <w:top w:val="single" w:color="000000" w:sz="4" w:space="0"/>
              <w:left w:val="single" w:color="000000" w:sz="4" w:space="0"/>
              <w:bottom w:val="single" w:color="000000" w:sz="4" w:space="0"/>
              <w:right w:val="single" w:color="000000" w:sz="4" w:space="0"/>
            </w:tcBorders>
          </w:tcPr>
          <w:p w14:paraId="23F8E294">
            <w:pPr>
              <w:kinsoku w:val="0"/>
              <w:overflowPunct w:val="0"/>
              <w:autoSpaceDE w:val="0"/>
              <w:autoSpaceDN w:val="0"/>
              <w:adjustRightInd w:val="0"/>
              <w:spacing w:line="276" w:lineRule="auto"/>
              <w:ind w:left="107"/>
              <w:rPr>
                <w:rFonts w:cs="Arial"/>
                <w:sz w:val="22"/>
              </w:rPr>
            </w:pPr>
            <w:r>
              <w:rPr>
                <w:rFonts w:cs="Arial"/>
                <w:sz w:val="22"/>
              </w:rPr>
              <w:t>22</w:t>
            </w:r>
          </w:p>
        </w:tc>
        <w:tc>
          <w:tcPr>
            <w:tcW w:w="4594" w:type="dxa"/>
            <w:tcBorders>
              <w:top w:val="single" w:color="000000" w:sz="4" w:space="0"/>
              <w:left w:val="single" w:color="000000" w:sz="4" w:space="0"/>
              <w:bottom w:val="single" w:color="000000" w:sz="4" w:space="0"/>
              <w:right w:val="single" w:color="000000" w:sz="4" w:space="0"/>
            </w:tcBorders>
          </w:tcPr>
          <w:p w14:paraId="1E191279">
            <w:pPr>
              <w:kinsoku w:val="0"/>
              <w:overflowPunct w:val="0"/>
              <w:autoSpaceDE w:val="0"/>
              <w:autoSpaceDN w:val="0"/>
              <w:adjustRightInd w:val="0"/>
              <w:spacing w:line="276" w:lineRule="auto"/>
              <w:ind w:left="105"/>
              <w:rPr>
                <w:rFonts w:cs="Arial"/>
                <w:sz w:val="22"/>
              </w:rPr>
            </w:pPr>
            <w:r>
              <w:rPr>
                <w:rFonts w:cs="Arial"/>
                <w:sz w:val="22"/>
              </w:rPr>
              <w:t>Beneficiarul proiectului/ Parteneri</w:t>
            </w:r>
          </w:p>
        </w:tc>
        <w:tc>
          <w:tcPr>
            <w:tcW w:w="4194" w:type="dxa"/>
            <w:tcBorders>
              <w:top w:val="single" w:color="000000" w:sz="4" w:space="0"/>
              <w:left w:val="single" w:color="000000" w:sz="4" w:space="0"/>
              <w:bottom w:val="single" w:color="000000" w:sz="4" w:space="0"/>
              <w:right w:val="single" w:color="000000" w:sz="4" w:space="0"/>
            </w:tcBorders>
          </w:tcPr>
          <w:p w14:paraId="42E6631B">
            <w:pPr>
              <w:kinsoku w:val="0"/>
              <w:overflowPunct w:val="0"/>
              <w:autoSpaceDE w:val="0"/>
              <w:autoSpaceDN w:val="0"/>
              <w:adjustRightInd w:val="0"/>
              <w:spacing w:line="276" w:lineRule="auto"/>
              <w:rPr>
                <w:rFonts w:cs="Arial"/>
                <w:sz w:val="22"/>
              </w:rPr>
            </w:pPr>
          </w:p>
        </w:tc>
      </w:tr>
      <w:tr w14:paraId="67C6BB8B">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6B75B2AB">
            <w:pPr>
              <w:kinsoku w:val="0"/>
              <w:overflowPunct w:val="0"/>
              <w:autoSpaceDE w:val="0"/>
              <w:autoSpaceDN w:val="0"/>
              <w:adjustRightInd w:val="0"/>
              <w:spacing w:line="276" w:lineRule="auto"/>
              <w:ind w:left="107"/>
              <w:rPr>
                <w:rFonts w:cs="Arial"/>
                <w:sz w:val="22"/>
              </w:rPr>
            </w:pPr>
            <w:r>
              <w:rPr>
                <w:rFonts w:cs="Arial"/>
                <w:sz w:val="22"/>
              </w:rPr>
              <w:t>33</w:t>
            </w:r>
          </w:p>
        </w:tc>
        <w:tc>
          <w:tcPr>
            <w:tcW w:w="4594" w:type="dxa"/>
            <w:tcBorders>
              <w:top w:val="single" w:color="000000" w:sz="4" w:space="0"/>
              <w:left w:val="single" w:color="000000" w:sz="4" w:space="0"/>
              <w:bottom w:val="single" w:color="000000" w:sz="4" w:space="0"/>
              <w:right w:val="single" w:color="000000" w:sz="4" w:space="0"/>
            </w:tcBorders>
          </w:tcPr>
          <w:p w14:paraId="1D542AB5">
            <w:pPr>
              <w:kinsoku w:val="0"/>
              <w:overflowPunct w:val="0"/>
              <w:autoSpaceDE w:val="0"/>
              <w:autoSpaceDN w:val="0"/>
              <w:adjustRightInd w:val="0"/>
              <w:spacing w:line="276" w:lineRule="auto"/>
              <w:ind w:left="105"/>
              <w:rPr>
                <w:rFonts w:cs="Arial"/>
                <w:sz w:val="22"/>
              </w:rPr>
            </w:pPr>
            <w:r>
              <w:rPr>
                <w:rFonts w:cs="Arial"/>
                <w:sz w:val="22"/>
              </w:rPr>
              <w:t>Dreptul de proprietate asupra terenurilor sau clădirilor</w:t>
            </w:r>
          </w:p>
          <w:p w14:paraId="40F71A7A">
            <w:pPr>
              <w:kinsoku w:val="0"/>
              <w:overflowPunct w:val="0"/>
              <w:autoSpaceDE w:val="0"/>
              <w:autoSpaceDN w:val="0"/>
              <w:adjustRightInd w:val="0"/>
              <w:spacing w:line="276" w:lineRule="auto"/>
              <w:ind w:left="105"/>
              <w:rPr>
                <w:rFonts w:cs="Arial"/>
                <w:sz w:val="22"/>
              </w:rPr>
            </w:pPr>
            <w:r>
              <w:rPr>
                <w:rFonts w:cs="Arial"/>
                <w:sz w:val="22"/>
              </w:rPr>
              <w:t>(dacă este cazul)</w:t>
            </w:r>
          </w:p>
        </w:tc>
        <w:tc>
          <w:tcPr>
            <w:tcW w:w="4194" w:type="dxa"/>
            <w:tcBorders>
              <w:top w:val="single" w:color="000000" w:sz="4" w:space="0"/>
              <w:left w:val="single" w:color="000000" w:sz="4" w:space="0"/>
              <w:bottom w:val="single" w:color="000000" w:sz="4" w:space="0"/>
              <w:right w:val="single" w:color="000000" w:sz="4" w:space="0"/>
            </w:tcBorders>
          </w:tcPr>
          <w:p w14:paraId="62BF810D">
            <w:pPr>
              <w:kinsoku w:val="0"/>
              <w:overflowPunct w:val="0"/>
              <w:autoSpaceDE w:val="0"/>
              <w:autoSpaceDN w:val="0"/>
              <w:adjustRightInd w:val="0"/>
              <w:spacing w:line="276" w:lineRule="auto"/>
              <w:rPr>
                <w:rFonts w:cs="Arial"/>
                <w:sz w:val="22"/>
              </w:rPr>
            </w:pPr>
          </w:p>
        </w:tc>
      </w:tr>
      <w:tr w14:paraId="0B345778">
        <w:tblPrEx>
          <w:tblCellMar>
            <w:top w:w="0" w:type="dxa"/>
            <w:left w:w="0" w:type="dxa"/>
            <w:bottom w:w="0" w:type="dxa"/>
            <w:right w:w="0" w:type="dxa"/>
          </w:tblCellMar>
        </w:tblPrEx>
        <w:trPr>
          <w:trHeight w:val="872" w:hRule="atLeast"/>
        </w:trPr>
        <w:tc>
          <w:tcPr>
            <w:tcW w:w="535" w:type="dxa"/>
            <w:tcBorders>
              <w:top w:val="single" w:color="000000" w:sz="4" w:space="0"/>
              <w:left w:val="single" w:color="000000" w:sz="4" w:space="0"/>
              <w:bottom w:val="single" w:color="000000" w:sz="4" w:space="0"/>
              <w:right w:val="single" w:color="000000" w:sz="4" w:space="0"/>
            </w:tcBorders>
          </w:tcPr>
          <w:p w14:paraId="4E15ABF2">
            <w:pPr>
              <w:kinsoku w:val="0"/>
              <w:overflowPunct w:val="0"/>
              <w:autoSpaceDE w:val="0"/>
              <w:autoSpaceDN w:val="0"/>
              <w:adjustRightInd w:val="0"/>
              <w:spacing w:line="276" w:lineRule="auto"/>
              <w:ind w:left="107"/>
              <w:rPr>
                <w:rFonts w:cs="Arial"/>
                <w:sz w:val="22"/>
              </w:rPr>
            </w:pPr>
            <w:r>
              <w:rPr>
                <w:rFonts w:cs="Arial"/>
                <w:sz w:val="22"/>
              </w:rPr>
              <w:t>44</w:t>
            </w:r>
          </w:p>
        </w:tc>
        <w:tc>
          <w:tcPr>
            <w:tcW w:w="4594" w:type="dxa"/>
            <w:tcBorders>
              <w:top w:val="single" w:color="000000" w:sz="4" w:space="0"/>
              <w:left w:val="single" w:color="000000" w:sz="4" w:space="0"/>
              <w:bottom w:val="single" w:color="000000" w:sz="4" w:space="0"/>
              <w:right w:val="single" w:color="000000" w:sz="4" w:space="0"/>
            </w:tcBorders>
          </w:tcPr>
          <w:p w14:paraId="307244B2">
            <w:pPr>
              <w:kinsoku w:val="0"/>
              <w:overflowPunct w:val="0"/>
              <w:autoSpaceDE w:val="0"/>
              <w:autoSpaceDN w:val="0"/>
              <w:adjustRightInd w:val="0"/>
              <w:spacing w:line="276" w:lineRule="auto"/>
              <w:ind w:left="105"/>
              <w:rPr>
                <w:rFonts w:cs="Arial"/>
                <w:sz w:val="22"/>
              </w:rPr>
            </w:pPr>
            <w:r>
              <w:rPr>
                <w:rFonts w:cs="Arial"/>
                <w:sz w:val="22"/>
              </w:rPr>
              <w:t>Descriere proiect (Principalele lucrări și activități, in</w:t>
            </w:r>
          </w:p>
          <w:p w14:paraId="2AC23C14">
            <w:pPr>
              <w:kinsoku w:val="0"/>
              <w:overflowPunct w:val="0"/>
              <w:autoSpaceDE w:val="0"/>
              <w:autoSpaceDN w:val="0"/>
              <w:adjustRightInd w:val="0"/>
              <w:spacing w:line="276" w:lineRule="auto"/>
              <w:ind w:left="105"/>
              <w:rPr>
                <w:rFonts w:cs="Arial"/>
                <w:sz w:val="22"/>
              </w:rPr>
            </w:pPr>
            <w:r>
              <w:rPr>
                <w:rFonts w:cs="Arial"/>
                <w:sz w:val="22"/>
              </w:rPr>
              <w:t>câteva fraze)</w:t>
            </w:r>
          </w:p>
        </w:tc>
        <w:tc>
          <w:tcPr>
            <w:tcW w:w="4194" w:type="dxa"/>
            <w:tcBorders>
              <w:top w:val="single" w:color="000000" w:sz="4" w:space="0"/>
              <w:left w:val="single" w:color="000000" w:sz="4" w:space="0"/>
              <w:bottom w:val="single" w:color="000000" w:sz="4" w:space="0"/>
              <w:right w:val="single" w:color="000000" w:sz="4" w:space="0"/>
            </w:tcBorders>
          </w:tcPr>
          <w:p w14:paraId="6241A3C3">
            <w:pPr>
              <w:kinsoku w:val="0"/>
              <w:overflowPunct w:val="0"/>
              <w:autoSpaceDE w:val="0"/>
              <w:autoSpaceDN w:val="0"/>
              <w:adjustRightInd w:val="0"/>
              <w:spacing w:line="276" w:lineRule="auto"/>
              <w:rPr>
                <w:rFonts w:cs="Arial"/>
                <w:sz w:val="22"/>
              </w:rPr>
            </w:pPr>
          </w:p>
        </w:tc>
      </w:tr>
      <w:tr w14:paraId="69E62A14">
        <w:tblPrEx>
          <w:tblCellMar>
            <w:top w:w="0" w:type="dxa"/>
            <w:left w:w="0" w:type="dxa"/>
            <w:bottom w:w="0" w:type="dxa"/>
            <w:right w:w="0" w:type="dxa"/>
          </w:tblCellMar>
        </w:tblPrEx>
        <w:trPr>
          <w:trHeight w:val="3705" w:hRule="atLeast"/>
        </w:trPr>
        <w:tc>
          <w:tcPr>
            <w:tcW w:w="535" w:type="dxa"/>
            <w:tcBorders>
              <w:top w:val="single" w:color="000000" w:sz="4" w:space="0"/>
              <w:left w:val="single" w:color="000000" w:sz="4" w:space="0"/>
              <w:bottom w:val="single" w:color="000000" w:sz="4" w:space="0"/>
              <w:right w:val="single" w:color="000000" w:sz="4" w:space="0"/>
            </w:tcBorders>
          </w:tcPr>
          <w:p w14:paraId="720C5216">
            <w:pPr>
              <w:kinsoku w:val="0"/>
              <w:overflowPunct w:val="0"/>
              <w:autoSpaceDE w:val="0"/>
              <w:autoSpaceDN w:val="0"/>
              <w:adjustRightInd w:val="0"/>
              <w:spacing w:line="276" w:lineRule="auto"/>
              <w:ind w:left="107"/>
              <w:rPr>
                <w:rFonts w:cs="Arial"/>
                <w:sz w:val="22"/>
              </w:rPr>
            </w:pPr>
            <w:r>
              <w:rPr>
                <w:rFonts w:cs="Arial"/>
                <w:sz w:val="22"/>
              </w:rPr>
              <w:t>.5</w:t>
            </w:r>
          </w:p>
        </w:tc>
        <w:tc>
          <w:tcPr>
            <w:tcW w:w="4594" w:type="dxa"/>
            <w:tcBorders>
              <w:top w:val="single" w:color="000000" w:sz="4" w:space="0"/>
              <w:left w:val="single" w:color="000000" w:sz="4" w:space="0"/>
              <w:bottom w:val="single" w:color="000000" w:sz="4" w:space="0"/>
              <w:right w:val="single" w:color="000000" w:sz="4" w:space="0"/>
            </w:tcBorders>
          </w:tcPr>
          <w:p w14:paraId="5DB5F85F">
            <w:pPr>
              <w:kinsoku w:val="0"/>
              <w:overflowPunct w:val="0"/>
              <w:autoSpaceDE w:val="0"/>
              <w:autoSpaceDN w:val="0"/>
              <w:adjustRightInd w:val="0"/>
              <w:spacing w:line="276" w:lineRule="auto"/>
              <w:ind w:left="105"/>
              <w:rPr>
                <w:rFonts w:cs="Arial"/>
                <w:sz w:val="22"/>
              </w:rPr>
            </w:pPr>
            <w:r>
              <w:rPr>
                <w:rFonts w:cs="Arial"/>
                <w:sz w:val="22"/>
              </w:rPr>
              <w:t>Rezultate estimate (Se vor corela cu activitățile și cu</w:t>
            </w:r>
          </w:p>
          <w:p w14:paraId="29064162">
            <w:pPr>
              <w:kinsoku w:val="0"/>
              <w:overflowPunct w:val="0"/>
              <w:autoSpaceDE w:val="0"/>
              <w:autoSpaceDN w:val="0"/>
              <w:adjustRightInd w:val="0"/>
              <w:spacing w:line="276" w:lineRule="auto"/>
              <w:ind w:left="105"/>
              <w:rPr>
                <w:rFonts w:cs="Arial"/>
                <w:sz w:val="22"/>
              </w:rPr>
            </w:pPr>
            <w:r>
              <w:rPr>
                <w:rFonts w:cs="Arial"/>
                <w:sz w:val="22"/>
              </w:rPr>
              <w:t>indicatorii priorității la care se aplică)</w:t>
            </w:r>
          </w:p>
        </w:tc>
        <w:tc>
          <w:tcPr>
            <w:tcW w:w="4194" w:type="dxa"/>
            <w:tcBorders>
              <w:top w:val="single" w:color="000000" w:sz="4" w:space="0"/>
              <w:left w:val="single" w:color="000000" w:sz="4" w:space="0"/>
              <w:bottom w:val="single" w:color="000000" w:sz="4" w:space="0"/>
              <w:right w:val="single" w:color="000000" w:sz="4" w:space="0"/>
            </w:tcBorders>
          </w:tcPr>
          <w:p w14:paraId="36EE2AA1">
            <w:pPr>
              <w:kinsoku w:val="0"/>
              <w:overflowPunct w:val="0"/>
              <w:autoSpaceDE w:val="0"/>
              <w:autoSpaceDN w:val="0"/>
              <w:adjustRightInd w:val="0"/>
              <w:spacing w:line="276" w:lineRule="auto"/>
              <w:rPr>
                <w:rFonts w:cs="Arial"/>
                <w:sz w:val="22"/>
              </w:rPr>
            </w:pPr>
          </w:p>
        </w:tc>
      </w:tr>
      <w:tr w14:paraId="76F346BC">
        <w:tblPrEx>
          <w:tblCellMar>
            <w:top w:w="0" w:type="dxa"/>
            <w:left w:w="0" w:type="dxa"/>
            <w:bottom w:w="0" w:type="dxa"/>
            <w:right w:w="0" w:type="dxa"/>
          </w:tblCellMar>
        </w:tblPrEx>
        <w:trPr>
          <w:trHeight w:val="865" w:hRule="atLeast"/>
        </w:trPr>
        <w:tc>
          <w:tcPr>
            <w:tcW w:w="535" w:type="dxa"/>
            <w:tcBorders>
              <w:top w:val="single" w:color="000000" w:sz="4" w:space="0"/>
              <w:left w:val="single" w:color="000000" w:sz="4" w:space="0"/>
              <w:bottom w:val="single" w:color="000000" w:sz="4" w:space="0"/>
              <w:right w:val="single" w:color="000000" w:sz="4" w:space="0"/>
            </w:tcBorders>
          </w:tcPr>
          <w:p w14:paraId="3DE943B7">
            <w:pPr>
              <w:kinsoku w:val="0"/>
              <w:overflowPunct w:val="0"/>
              <w:autoSpaceDE w:val="0"/>
              <w:autoSpaceDN w:val="0"/>
              <w:adjustRightInd w:val="0"/>
              <w:spacing w:line="276" w:lineRule="auto"/>
              <w:ind w:left="32" w:right="171"/>
              <w:jc w:val="center"/>
              <w:rPr>
                <w:rFonts w:cs="Arial"/>
                <w:sz w:val="22"/>
              </w:rPr>
            </w:pPr>
            <w:r>
              <w:rPr>
                <w:rFonts w:cs="Arial"/>
                <w:sz w:val="22"/>
              </w:rPr>
              <w:t>66</w:t>
            </w:r>
          </w:p>
        </w:tc>
        <w:tc>
          <w:tcPr>
            <w:tcW w:w="4594" w:type="dxa"/>
            <w:tcBorders>
              <w:top w:val="single" w:color="000000" w:sz="4" w:space="0"/>
              <w:left w:val="single" w:color="000000" w:sz="4" w:space="0"/>
              <w:bottom w:val="single" w:color="000000" w:sz="4" w:space="0"/>
              <w:right w:val="single" w:color="000000" w:sz="4" w:space="0"/>
            </w:tcBorders>
          </w:tcPr>
          <w:p w14:paraId="38D7A663">
            <w:pPr>
              <w:kinsoku w:val="0"/>
              <w:overflowPunct w:val="0"/>
              <w:autoSpaceDE w:val="0"/>
              <w:autoSpaceDN w:val="0"/>
              <w:adjustRightInd w:val="0"/>
              <w:spacing w:line="276" w:lineRule="auto"/>
              <w:ind w:left="105"/>
              <w:rPr>
                <w:rFonts w:cs="Arial"/>
                <w:sz w:val="22"/>
              </w:rPr>
            </w:pPr>
            <w:r>
              <w:rPr>
                <w:rFonts w:cs="Arial"/>
                <w:sz w:val="22"/>
              </w:rPr>
              <w:t>Sursele de finanțare identificate</w:t>
            </w:r>
          </w:p>
          <w:p w14:paraId="4416F4D0">
            <w:pPr>
              <w:kinsoku w:val="0"/>
              <w:overflowPunct w:val="0"/>
              <w:autoSpaceDE w:val="0"/>
              <w:autoSpaceDN w:val="0"/>
              <w:adjustRightInd w:val="0"/>
              <w:spacing w:line="276" w:lineRule="auto"/>
              <w:ind w:left="105" w:right="168"/>
              <w:rPr>
                <w:rFonts w:cs="Arial"/>
                <w:sz w:val="22"/>
              </w:rPr>
            </w:pPr>
            <w:r>
              <w:rPr>
                <w:rFonts w:cs="Arial"/>
                <w:sz w:val="22"/>
              </w:rPr>
              <w:t>Încadrarea ideii de proiect în cadrul priorității P7- Dezvoltare teritoriala sustenabila a PR SV Oltenia 2021- 2027</w:t>
            </w:r>
          </w:p>
        </w:tc>
        <w:tc>
          <w:tcPr>
            <w:tcW w:w="4194" w:type="dxa"/>
            <w:tcBorders>
              <w:top w:val="single" w:color="000000" w:sz="4" w:space="0"/>
              <w:left w:val="single" w:color="000000" w:sz="4" w:space="0"/>
              <w:bottom w:val="single" w:color="000000" w:sz="4" w:space="0"/>
              <w:right w:val="single" w:color="000000" w:sz="4" w:space="0"/>
            </w:tcBorders>
          </w:tcPr>
          <w:p w14:paraId="3FBAA907">
            <w:pPr>
              <w:tabs>
                <w:tab w:val="left" w:pos="1848"/>
              </w:tabs>
              <w:spacing w:line="276" w:lineRule="auto"/>
              <w:rPr>
                <w:rFonts w:cs="Arial"/>
                <w:sz w:val="22"/>
              </w:rPr>
            </w:pPr>
          </w:p>
        </w:tc>
      </w:tr>
      <w:tr w14:paraId="6D04CB71">
        <w:tblPrEx>
          <w:tblCellMar>
            <w:top w:w="0" w:type="dxa"/>
            <w:left w:w="0" w:type="dxa"/>
            <w:bottom w:w="0" w:type="dxa"/>
            <w:right w:w="0" w:type="dxa"/>
          </w:tblCellMar>
        </w:tblPrEx>
        <w:trPr>
          <w:trHeight w:val="1074" w:hRule="atLeast"/>
        </w:trPr>
        <w:tc>
          <w:tcPr>
            <w:tcW w:w="535" w:type="dxa"/>
            <w:tcBorders>
              <w:top w:val="single" w:color="000000" w:sz="4" w:space="0"/>
              <w:left w:val="single" w:color="000000" w:sz="4" w:space="0"/>
              <w:bottom w:val="single" w:color="000000" w:sz="4" w:space="0"/>
              <w:right w:val="single" w:color="000000" w:sz="4" w:space="0"/>
            </w:tcBorders>
          </w:tcPr>
          <w:p w14:paraId="6DED884A">
            <w:pPr>
              <w:kinsoku w:val="0"/>
              <w:overflowPunct w:val="0"/>
              <w:autoSpaceDE w:val="0"/>
              <w:autoSpaceDN w:val="0"/>
              <w:adjustRightInd w:val="0"/>
              <w:spacing w:before="1" w:line="276" w:lineRule="auto"/>
              <w:ind w:left="32" w:right="171"/>
              <w:jc w:val="center"/>
              <w:rPr>
                <w:rFonts w:cs="Arial"/>
                <w:sz w:val="22"/>
              </w:rPr>
            </w:pPr>
            <w:r>
              <w:rPr>
                <w:rFonts w:cs="Arial"/>
                <w:sz w:val="22"/>
              </w:rPr>
              <w:t>77</w:t>
            </w:r>
          </w:p>
        </w:tc>
        <w:tc>
          <w:tcPr>
            <w:tcW w:w="4594" w:type="dxa"/>
            <w:tcBorders>
              <w:top w:val="single" w:color="000000" w:sz="4" w:space="0"/>
              <w:left w:val="single" w:color="000000" w:sz="4" w:space="0"/>
              <w:bottom w:val="single" w:color="000000" w:sz="4" w:space="0"/>
              <w:right w:val="single" w:color="000000" w:sz="4" w:space="0"/>
            </w:tcBorders>
          </w:tcPr>
          <w:p w14:paraId="4C927199">
            <w:pPr>
              <w:kinsoku w:val="0"/>
              <w:overflowPunct w:val="0"/>
              <w:autoSpaceDE w:val="0"/>
              <w:autoSpaceDN w:val="0"/>
              <w:adjustRightInd w:val="0"/>
              <w:spacing w:before="1" w:line="276" w:lineRule="auto"/>
              <w:ind w:left="105"/>
              <w:rPr>
                <w:rFonts w:cs="Arial"/>
                <w:sz w:val="22"/>
              </w:rPr>
            </w:pPr>
            <w:r>
              <w:rPr>
                <w:rFonts w:cs="Arial"/>
                <w:sz w:val="22"/>
              </w:rPr>
              <w:t>Gradul de maturitate al proiectului (Studiu de</w:t>
            </w:r>
          </w:p>
          <w:p w14:paraId="291CD805">
            <w:pPr>
              <w:kinsoku w:val="0"/>
              <w:overflowPunct w:val="0"/>
              <w:autoSpaceDE w:val="0"/>
              <w:autoSpaceDN w:val="0"/>
              <w:adjustRightInd w:val="0"/>
              <w:spacing w:line="276" w:lineRule="auto"/>
              <w:ind w:left="105" w:right="219"/>
              <w:rPr>
                <w:rFonts w:cs="Arial"/>
                <w:sz w:val="22"/>
              </w:rPr>
            </w:pPr>
            <w:r>
              <w:rPr>
                <w:rFonts w:cs="Arial"/>
                <w:sz w:val="22"/>
              </w:rPr>
              <w:t>prefezabilitate/ Studiu de fezabilitate/ Proiect tehnic și detalii de execuție/ Studii de trafic/ Studii de</w:t>
            </w:r>
          </w:p>
          <w:p w14:paraId="5297FEB3">
            <w:pPr>
              <w:kinsoku w:val="0"/>
              <w:overflowPunct w:val="0"/>
              <w:autoSpaceDE w:val="0"/>
              <w:autoSpaceDN w:val="0"/>
              <w:adjustRightInd w:val="0"/>
              <w:spacing w:line="276" w:lineRule="auto"/>
              <w:ind w:left="105"/>
              <w:rPr>
                <w:rFonts w:cs="Arial"/>
                <w:sz w:val="22"/>
              </w:rPr>
            </w:pPr>
            <w:r>
              <w:rPr>
                <w:rFonts w:cs="Arial"/>
                <w:sz w:val="22"/>
              </w:rPr>
              <w:t>marketing/ Sondaje/ Alte studii)</w:t>
            </w:r>
          </w:p>
        </w:tc>
        <w:tc>
          <w:tcPr>
            <w:tcW w:w="4194" w:type="dxa"/>
            <w:tcBorders>
              <w:top w:val="single" w:color="000000" w:sz="4" w:space="0"/>
              <w:left w:val="single" w:color="000000" w:sz="4" w:space="0"/>
              <w:bottom w:val="single" w:color="000000" w:sz="4" w:space="0"/>
              <w:right w:val="single" w:color="000000" w:sz="4" w:space="0"/>
            </w:tcBorders>
          </w:tcPr>
          <w:p w14:paraId="2C12EC6D">
            <w:pPr>
              <w:kinsoku w:val="0"/>
              <w:overflowPunct w:val="0"/>
              <w:autoSpaceDE w:val="0"/>
              <w:autoSpaceDN w:val="0"/>
              <w:adjustRightInd w:val="0"/>
              <w:spacing w:line="276" w:lineRule="auto"/>
              <w:rPr>
                <w:rFonts w:cs="Arial"/>
                <w:sz w:val="22"/>
              </w:rPr>
            </w:pPr>
          </w:p>
        </w:tc>
      </w:tr>
      <w:tr w14:paraId="0CF42C9C">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6BFD9094">
            <w:pPr>
              <w:kinsoku w:val="0"/>
              <w:overflowPunct w:val="0"/>
              <w:autoSpaceDE w:val="0"/>
              <w:autoSpaceDN w:val="0"/>
              <w:adjustRightInd w:val="0"/>
              <w:spacing w:line="276" w:lineRule="auto"/>
              <w:ind w:left="32" w:right="171"/>
              <w:jc w:val="center"/>
              <w:rPr>
                <w:rFonts w:cs="Arial"/>
                <w:sz w:val="22"/>
              </w:rPr>
            </w:pPr>
            <w:r>
              <w:rPr>
                <w:rFonts w:cs="Arial"/>
                <w:sz w:val="22"/>
              </w:rPr>
              <w:t>88</w:t>
            </w:r>
          </w:p>
        </w:tc>
        <w:tc>
          <w:tcPr>
            <w:tcW w:w="4594" w:type="dxa"/>
            <w:tcBorders>
              <w:top w:val="single" w:color="000000" w:sz="4" w:space="0"/>
              <w:left w:val="single" w:color="000000" w:sz="4" w:space="0"/>
              <w:bottom w:val="single" w:color="000000" w:sz="4" w:space="0"/>
              <w:right w:val="single" w:color="000000" w:sz="4" w:space="0"/>
            </w:tcBorders>
          </w:tcPr>
          <w:p w14:paraId="79A07892">
            <w:pPr>
              <w:kinsoku w:val="0"/>
              <w:overflowPunct w:val="0"/>
              <w:autoSpaceDE w:val="0"/>
              <w:autoSpaceDN w:val="0"/>
              <w:adjustRightInd w:val="0"/>
              <w:spacing w:line="276" w:lineRule="auto"/>
              <w:ind w:left="105"/>
              <w:rPr>
                <w:rFonts w:cs="Arial"/>
                <w:sz w:val="22"/>
              </w:rPr>
            </w:pPr>
            <w:r>
              <w:rPr>
                <w:rFonts w:cs="Arial"/>
                <w:sz w:val="22"/>
              </w:rPr>
              <w:t>Calendar orientativ (durata proiectului și perioada</w:t>
            </w:r>
          </w:p>
          <w:p w14:paraId="1C3E6E28">
            <w:pPr>
              <w:kinsoku w:val="0"/>
              <w:overflowPunct w:val="0"/>
              <w:autoSpaceDE w:val="0"/>
              <w:autoSpaceDN w:val="0"/>
              <w:adjustRightInd w:val="0"/>
              <w:spacing w:line="276" w:lineRule="auto"/>
              <w:ind w:left="105"/>
              <w:rPr>
                <w:rFonts w:cs="Arial"/>
                <w:sz w:val="22"/>
              </w:rPr>
            </w:pPr>
            <w:r>
              <w:rPr>
                <w:rFonts w:cs="Arial"/>
                <w:sz w:val="22"/>
              </w:rPr>
              <w:t>estimată de punere în aplicare)</w:t>
            </w:r>
          </w:p>
        </w:tc>
        <w:tc>
          <w:tcPr>
            <w:tcW w:w="4194" w:type="dxa"/>
            <w:tcBorders>
              <w:top w:val="single" w:color="000000" w:sz="4" w:space="0"/>
              <w:left w:val="single" w:color="000000" w:sz="4" w:space="0"/>
              <w:bottom w:val="single" w:color="000000" w:sz="4" w:space="0"/>
              <w:right w:val="single" w:color="000000" w:sz="4" w:space="0"/>
            </w:tcBorders>
          </w:tcPr>
          <w:p w14:paraId="2214A46A">
            <w:pPr>
              <w:kinsoku w:val="0"/>
              <w:overflowPunct w:val="0"/>
              <w:autoSpaceDE w:val="0"/>
              <w:autoSpaceDN w:val="0"/>
              <w:adjustRightInd w:val="0"/>
              <w:spacing w:line="276" w:lineRule="auto"/>
              <w:rPr>
                <w:rFonts w:cs="Arial"/>
                <w:sz w:val="22"/>
              </w:rPr>
            </w:pPr>
          </w:p>
        </w:tc>
      </w:tr>
      <w:tr w14:paraId="157F0908">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0E6015B2">
            <w:pPr>
              <w:kinsoku w:val="0"/>
              <w:overflowPunct w:val="0"/>
              <w:autoSpaceDE w:val="0"/>
              <w:autoSpaceDN w:val="0"/>
              <w:adjustRightInd w:val="0"/>
              <w:spacing w:line="276" w:lineRule="auto"/>
              <w:ind w:left="32" w:right="171"/>
              <w:jc w:val="center"/>
              <w:rPr>
                <w:rFonts w:cs="Arial"/>
                <w:sz w:val="22"/>
              </w:rPr>
            </w:pPr>
            <w:r>
              <w:rPr>
                <w:rFonts w:cs="Arial"/>
                <w:sz w:val="22"/>
              </w:rPr>
              <w:t>99</w:t>
            </w:r>
          </w:p>
        </w:tc>
        <w:tc>
          <w:tcPr>
            <w:tcW w:w="4594" w:type="dxa"/>
            <w:tcBorders>
              <w:top w:val="single" w:color="000000" w:sz="4" w:space="0"/>
              <w:left w:val="single" w:color="000000" w:sz="4" w:space="0"/>
              <w:bottom w:val="single" w:color="000000" w:sz="4" w:space="0"/>
              <w:right w:val="single" w:color="000000" w:sz="4" w:space="0"/>
            </w:tcBorders>
          </w:tcPr>
          <w:p w14:paraId="172D09E9">
            <w:pPr>
              <w:kinsoku w:val="0"/>
              <w:overflowPunct w:val="0"/>
              <w:autoSpaceDE w:val="0"/>
              <w:autoSpaceDN w:val="0"/>
              <w:adjustRightInd w:val="0"/>
              <w:spacing w:line="276" w:lineRule="auto"/>
              <w:ind w:left="105"/>
              <w:rPr>
                <w:rFonts w:cs="Arial"/>
                <w:sz w:val="22"/>
              </w:rPr>
            </w:pPr>
            <w:r>
              <w:rPr>
                <w:rFonts w:cs="Arial"/>
                <w:sz w:val="22"/>
              </w:rPr>
              <w:t>Bugetul estimat al investiției si sustenabilitatea</w:t>
            </w:r>
          </w:p>
          <w:p w14:paraId="35E1E49F">
            <w:pPr>
              <w:kinsoku w:val="0"/>
              <w:overflowPunct w:val="0"/>
              <w:autoSpaceDE w:val="0"/>
              <w:autoSpaceDN w:val="0"/>
              <w:adjustRightInd w:val="0"/>
              <w:spacing w:line="276" w:lineRule="auto"/>
              <w:ind w:left="105"/>
              <w:rPr>
                <w:rFonts w:cs="Arial"/>
                <w:sz w:val="22"/>
              </w:rPr>
            </w:pPr>
            <w:r>
              <w:rPr>
                <w:rFonts w:cs="Arial"/>
                <w:sz w:val="22"/>
              </w:rPr>
              <w:t>financiara a proiectului</w:t>
            </w:r>
          </w:p>
        </w:tc>
        <w:tc>
          <w:tcPr>
            <w:tcW w:w="4194" w:type="dxa"/>
            <w:tcBorders>
              <w:top w:val="single" w:color="000000" w:sz="4" w:space="0"/>
              <w:left w:val="single" w:color="000000" w:sz="4" w:space="0"/>
              <w:bottom w:val="single" w:color="000000" w:sz="4" w:space="0"/>
              <w:right w:val="single" w:color="000000" w:sz="4" w:space="0"/>
            </w:tcBorders>
          </w:tcPr>
          <w:p w14:paraId="360C6B59">
            <w:pPr>
              <w:kinsoku w:val="0"/>
              <w:overflowPunct w:val="0"/>
              <w:autoSpaceDE w:val="0"/>
              <w:autoSpaceDN w:val="0"/>
              <w:adjustRightInd w:val="0"/>
              <w:spacing w:line="276" w:lineRule="auto"/>
              <w:rPr>
                <w:rFonts w:cs="Arial"/>
                <w:sz w:val="22"/>
              </w:rPr>
            </w:pPr>
          </w:p>
        </w:tc>
      </w:tr>
      <w:tr w14:paraId="5E47E269">
        <w:tblPrEx>
          <w:tblCellMar>
            <w:top w:w="0" w:type="dxa"/>
            <w:left w:w="0" w:type="dxa"/>
            <w:bottom w:w="0" w:type="dxa"/>
            <w:right w:w="0" w:type="dxa"/>
          </w:tblCellMar>
        </w:tblPrEx>
        <w:trPr>
          <w:trHeight w:val="453" w:hRule="atLeast"/>
        </w:trPr>
        <w:tc>
          <w:tcPr>
            <w:tcW w:w="535" w:type="dxa"/>
            <w:tcBorders>
              <w:top w:val="single" w:color="000000" w:sz="4" w:space="0"/>
              <w:left w:val="single" w:color="000000" w:sz="4" w:space="0"/>
              <w:bottom w:val="single" w:color="000000" w:sz="4" w:space="0"/>
              <w:right w:val="single" w:color="000000" w:sz="4" w:space="0"/>
            </w:tcBorders>
          </w:tcPr>
          <w:p w14:paraId="458A2743">
            <w:pPr>
              <w:kinsoku w:val="0"/>
              <w:overflowPunct w:val="0"/>
              <w:autoSpaceDE w:val="0"/>
              <w:autoSpaceDN w:val="0"/>
              <w:adjustRightInd w:val="0"/>
              <w:spacing w:line="276" w:lineRule="auto"/>
              <w:ind w:left="89" w:right="170"/>
              <w:jc w:val="center"/>
              <w:rPr>
                <w:rFonts w:cs="Arial"/>
                <w:sz w:val="22"/>
              </w:rPr>
            </w:pPr>
            <w:r>
              <w:rPr>
                <w:rFonts w:cs="Arial"/>
                <w:sz w:val="22"/>
              </w:rPr>
              <w:t>110</w:t>
            </w:r>
          </w:p>
        </w:tc>
        <w:tc>
          <w:tcPr>
            <w:tcW w:w="4594" w:type="dxa"/>
            <w:tcBorders>
              <w:top w:val="single" w:color="000000" w:sz="4" w:space="0"/>
              <w:left w:val="single" w:color="000000" w:sz="4" w:space="0"/>
              <w:bottom w:val="single" w:color="000000" w:sz="4" w:space="0"/>
              <w:right w:val="single" w:color="000000" w:sz="4" w:space="0"/>
            </w:tcBorders>
          </w:tcPr>
          <w:p w14:paraId="60110762">
            <w:pPr>
              <w:kinsoku w:val="0"/>
              <w:overflowPunct w:val="0"/>
              <w:autoSpaceDE w:val="0"/>
              <w:autoSpaceDN w:val="0"/>
              <w:adjustRightInd w:val="0"/>
              <w:spacing w:line="276" w:lineRule="auto"/>
              <w:ind w:left="105"/>
              <w:rPr>
                <w:rFonts w:cs="Arial"/>
                <w:sz w:val="22"/>
              </w:rPr>
            </w:pPr>
            <w:r>
              <w:rPr>
                <w:rFonts w:cs="Arial"/>
                <w:sz w:val="22"/>
              </w:rPr>
              <w:t>Contribuția proiectului la dezvoltarea durabila</w:t>
            </w:r>
          </w:p>
        </w:tc>
        <w:tc>
          <w:tcPr>
            <w:tcW w:w="4194" w:type="dxa"/>
            <w:tcBorders>
              <w:top w:val="single" w:color="000000" w:sz="4" w:space="0"/>
              <w:left w:val="single" w:color="000000" w:sz="4" w:space="0"/>
              <w:bottom w:val="single" w:color="000000" w:sz="4" w:space="0"/>
              <w:right w:val="single" w:color="000000" w:sz="4" w:space="0"/>
            </w:tcBorders>
          </w:tcPr>
          <w:p w14:paraId="4825695D">
            <w:pPr>
              <w:kinsoku w:val="0"/>
              <w:overflowPunct w:val="0"/>
              <w:autoSpaceDE w:val="0"/>
              <w:autoSpaceDN w:val="0"/>
              <w:adjustRightInd w:val="0"/>
              <w:spacing w:line="276" w:lineRule="auto"/>
              <w:rPr>
                <w:rFonts w:cs="Arial"/>
                <w:sz w:val="22"/>
              </w:rPr>
            </w:pPr>
          </w:p>
        </w:tc>
      </w:tr>
      <w:tr w14:paraId="75A75E2C">
        <w:tblPrEx>
          <w:tblCellMar>
            <w:top w:w="0" w:type="dxa"/>
            <w:left w:w="0" w:type="dxa"/>
            <w:bottom w:w="0" w:type="dxa"/>
            <w:right w:w="0" w:type="dxa"/>
          </w:tblCellMar>
        </w:tblPrEx>
        <w:trPr>
          <w:trHeight w:val="950" w:hRule="atLeast"/>
        </w:trPr>
        <w:tc>
          <w:tcPr>
            <w:tcW w:w="535" w:type="dxa"/>
            <w:tcBorders>
              <w:top w:val="single" w:color="000000" w:sz="4" w:space="0"/>
              <w:left w:val="single" w:color="000000" w:sz="4" w:space="0"/>
              <w:bottom w:val="single" w:color="000000" w:sz="4" w:space="0"/>
              <w:right w:val="single" w:color="000000" w:sz="4" w:space="0"/>
            </w:tcBorders>
          </w:tcPr>
          <w:p w14:paraId="06C5B6E1">
            <w:pPr>
              <w:kinsoku w:val="0"/>
              <w:overflowPunct w:val="0"/>
              <w:autoSpaceDE w:val="0"/>
              <w:autoSpaceDN w:val="0"/>
              <w:adjustRightInd w:val="0"/>
              <w:spacing w:line="276" w:lineRule="auto"/>
              <w:ind w:left="89" w:right="170"/>
              <w:jc w:val="center"/>
              <w:rPr>
                <w:rFonts w:cs="Arial"/>
                <w:sz w:val="22"/>
              </w:rPr>
            </w:pPr>
            <w:r>
              <w:rPr>
                <w:rFonts w:cs="Arial"/>
                <w:sz w:val="22"/>
              </w:rPr>
              <w:t>111</w:t>
            </w:r>
          </w:p>
        </w:tc>
        <w:tc>
          <w:tcPr>
            <w:tcW w:w="4594" w:type="dxa"/>
            <w:tcBorders>
              <w:top w:val="single" w:color="000000" w:sz="4" w:space="0"/>
              <w:left w:val="single" w:color="000000" w:sz="4" w:space="0"/>
              <w:bottom w:val="single" w:color="000000" w:sz="4" w:space="0"/>
              <w:right w:val="single" w:color="000000" w:sz="4" w:space="0"/>
            </w:tcBorders>
          </w:tcPr>
          <w:p w14:paraId="6A059C52">
            <w:pPr>
              <w:kinsoku w:val="0"/>
              <w:overflowPunct w:val="0"/>
              <w:autoSpaceDE w:val="0"/>
              <w:autoSpaceDN w:val="0"/>
              <w:adjustRightInd w:val="0"/>
              <w:spacing w:line="276" w:lineRule="auto"/>
              <w:ind w:left="105" w:right="234"/>
              <w:rPr>
                <w:rFonts w:cs="Arial"/>
                <w:sz w:val="22"/>
              </w:rPr>
            </w:pPr>
            <w:r>
              <w:rPr>
                <w:rFonts w:cs="Arial"/>
                <w:sz w:val="22"/>
              </w:rPr>
              <w:t>Ideea de proiect permite aspecte legate de principiile privind dezvoltarea durabilă, accesibilitatea, egalitatea de șanse, gen și nediscriminarea</w:t>
            </w:r>
          </w:p>
        </w:tc>
        <w:tc>
          <w:tcPr>
            <w:tcW w:w="4194" w:type="dxa"/>
            <w:tcBorders>
              <w:top w:val="single" w:color="000000" w:sz="4" w:space="0"/>
              <w:left w:val="single" w:color="000000" w:sz="4" w:space="0"/>
              <w:bottom w:val="single" w:color="000000" w:sz="4" w:space="0"/>
              <w:right w:val="single" w:color="000000" w:sz="4" w:space="0"/>
            </w:tcBorders>
          </w:tcPr>
          <w:p w14:paraId="744AD3AC">
            <w:pPr>
              <w:kinsoku w:val="0"/>
              <w:overflowPunct w:val="0"/>
              <w:autoSpaceDE w:val="0"/>
              <w:autoSpaceDN w:val="0"/>
              <w:adjustRightInd w:val="0"/>
              <w:spacing w:line="276" w:lineRule="auto"/>
              <w:rPr>
                <w:rFonts w:cs="Arial"/>
                <w:sz w:val="22"/>
              </w:rPr>
            </w:pPr>
          </w:p>
        </w:tc>
      </w:tr>
      <w:tr w14:paraId="2B5EEFE5">
        <w:tblPrEx>
          <w:tblCellMar>
            <w:top w:w="0" w:type="dxa"/>
            <w:left w:w="0" w:type="dxa"/>
            <w:bottom w:w="0" w:type="dxa"/>
            <w:right w:w="0" w:type="dxa"/>
          </w:tblCellMar>
        </w:tblPrEx>
        <w:trPr>
          <w:trHeight w:val="445" w:hRule="atLeast"/>
        </w:trPr>
        <w:tc>
          <w:tcPr>
            <w:tcW w:w="535" w:type="dxa"/>
            <w:tcBorders>
              <w:top w:val="single" w:color="000000" w:sz="4" w:space="0"/>
              <w:left w:val="single" w:color="000000" w:sz="4" w:space="0"/>
              <w:bottom w:val="single" w:color="000000" w:sz="4" w:space="0"/>
              <w:right w:val="single" w:color="000000" w:sz="4" w:space="0"/>
            </w:tcBorders>
          </w:tcPr>
          <w:p w14:paraId="30D4C562">
            <w:pPr>
              <w:kinsoku w:val="0"/>
              <w:overflowPunct w:val="0"/>
              <w:autoSpaceDE w:val="0"/>
              <w:autoSpaceDN w:val="0"/>
              <w:adjustRightInd w:val="0"/>
              <w:spacing w:line="276" w:lineRule="auto"/>
              <w:ind w:left="89" w:right="170"/>
              <w:jc w:val="center"/>
              <w:rPr>
                <w:rFonts w:cs="Arial"/>
                <w:sz w:val="22"/>
              </w:rPr>
            </w:pPr>
            <w:r>
              <w:rPr>
                <w:rFonts w:cs="Arial"/>
                <w:sz w:val="22"/>
              </w:rPr>
              <w:t>112</w:t>
            </w:r>
          </w:p>
        </w:tc>
        <w:tc>
          <w:tcPr>
            <w:tcW w:w="4594" w:type="dxa"/>
            <w:tcBorders>
              <w:top w:val="single" w:color="000000" w:sz="4" w:space="0"/>
              <w:left w:val="single" w:color="000000" w:sz="4" w:space="0"/>
              <w:bottom w:val="single" w:color="000000" w:sz="4" w:space="0"/>
              <w:right w:val="single" w:color="000000" w:sz="4" w:space="0"/>
            </w:tcBorders>
          </w:tcPr>
          <w:p w14:paraId="6DA4FCC4">
            <w:pPr>
              <w:kinsoku w:val="0"/>
              <w:overflowPunct w:val="0"/>
              <w:autoSpaceDE w:val="0"/>
              <w:autoSpaceDN w:val="0"/>
              <w:adjustRightInd w:val="0"/>
              <w:spacing w:line="276" w:lineRule="auto"/>
              <w:ind w:left="105"/>
              <w:rPr>
                <w:rFonts w:cs="Arial"/>
                <w:sz w:val="22"/>
              </w:rPr>
            </w:pPr>
            <w:r>
              <w:rPr>
                <w:rFonts w:cs="Arial"/>
                <w:sz w:val="22"/>
              </w:rPr>
              <w:t>Ideea de proiect are caracter integrat ?</w:t>
            </w:r>
          </w:p>
        </w:tc>
        <w:tc>
          <w:tcPr>
            <w:tcW w:w="4194" w:type="dxa"/>
            <w:tcBorders>
              <w:top w:val="single" w:color="000000" w:sz="4" w:space="0"/>
              <w:left w:val="single" w:color="000000" w:sz="4" w:space="0"/>
              <w:bottom w:val="single" w:color="000000" w:sz="4" w:space="0"/>
              <w:right w:val="single" w:color="000000" w:sz="4" w:space="0"/>
            </w:tcBorders>
          </w:tcPr>
          <w:p w14:paraId="6D81E5EF">
            <w:pPr>
              <w:kinsoku w:val="0"/>
              <w:overflowPunct w:val="0"/>
              <w:autoSpaceDE w:val="0"/>
              <w:autoSpaceDN w:val="0"/>
              <w:adjustRightInd w:val="0"/>
              <w:spacing w:line="276" w:lineRule="auto"/>
              <w:rPr>
                <w:rFonts w:cs="Arial"/>
                <w:sz w:val="22"/>
              </w:rPr>
            </w:pPr>
          </w:p>
        </w:tc>
      </w:tr>
      <w:tr w14:paraId="0788715F">
        <w:tblPrEx>
          <w:tblCellMar>
            <w:top w:w="0" w:type="dxa"/>
            <w:left w:w="0" w:type="dxa"/>
            <w:bottom w:w="0" w:type="dxa"/>
            <w:right w:w="0" w:type="dxa"/>
          </w:tblCellMar>
        </w:tblPrEx>
        <w:trPr>
          <w:trHeight w:val="537" w:hRule="atLeast"/>
        </w:trPr>
        <w:tc>
          <w:tcPr>
            <w:tcW w:w="535" w:type="dxa"/>
            <w:tcBorders>
              <w:top w:val="single" w:color="000000" w:sz="4" w:space="0"/>
              <w:left w:val="single" w:color="000000" w:sz="4" w:space="0"/>
              <w:bottom w:val="single" w:color="000000" w:sz="4" w:space="0"/>
              <w:right w:val="single" w:color="000000" w:sz="4" w:space="0"/>
            </w:tcBorders>
          </w:tcPr>
          <w:p w14:paraId="7425F795">
            <w:pPr>
              <w:kinsoku w:val="0"/>
              <w:overflowPunct w:val="0"/>
              <w:autoSpaceDE w:val="0"/>
              <w:autoSpaceDN w:val="0"/>
              <w:adjustRightInd w:val="0"/>
              <w:spacing w:line="276" w:lineRule="auto"/>
              <w:ind w:left="89" w:right="115"/>
              <w:jc w:val="center"/>
              <w:rPr>
                <w:rFonts w:cs="Arial"/>
                <w:sz w:val="22"/>
              </w:rPr>
            </w:pPr>
            <w:r>
              <w:rPr>
                <w:rFonts w:cs="Arial"/>
                <w:sz w:val="22"/>
              </w:rPr>
              <w:t>113</w:t>
            </w:r>
          </w:p>
        </w:tc>
        <w:tc>
          <w:tcPr>
            <w:tcW w:w="4594" w:type="dxa"/>
            <w:tcBorders>
              <w:top w:val="single" w:color="000000" w:sz="4" w:space="0"/>
              <w:left w:val="single" w:color="000000" w:sz="4" w:space="0"/>
              <w:bottom w:val="single" w:color="000000" w:sz="4" w:space="0"/>
              <w:right w:val="single" w:color="000000" w:sz="4" w:space="0"/>
            </w:tcBorders>
          </w:tcPr>
          <w:p w14:paraId="6F9815B3">
            <w:pPr>
              <w:kinsoku w:val="0"/>
              <w:overflowPunct w:val="0"/>
              <w:autoSpaceDE w:val="0"/>
              <w:autoSpaceDN w:val="0"/>
              <w:adjustRightInd w:val="0"/>
              <w:spacing w:line="276" w:lineRule="auto"/>
              <w:ind w:left="105"/>
              <w:rPr>
                <w:rFonts w:cs="Arial"/>
                <w:sz w:val="22"/>
              </w:rPr>
            </w:pPr>
            <w:r>
              <w:rPr>
                <w:rFonts w:cs="Arial"/>
                <w:sz w:val="22"/>
              </w:rPr>
              <w:t>Alte informații relevante</w:t>
            </w:r>
          </w:p>
        </w:tc>
        <w:tc>
          <w:tcPr>
            <w:tcW w:w="4194" w:type="dxa"/>
            <w:tcBorders>
              <w:top w:val="single" w:color="000000" w:sz="4" w:space="0"/>
              <w:left w:val="single" w:color="000000" w:sz="4" w:space="0"/>
              <w:bottom w:val="single" w:color="000000" w:sz="4" w:space="0"/>
              <w:right w:val="single" w:color="000000" w:sz="4" w:space="0"/>
            </w:tcBorders>
          </w:tcPr>
          <w:p w14:paraId="6E568064">
            <w:pPr>
              <w:kinsoku w:val="0"/>
              <w:overflowPunct w:val="0"/>
              <w:autoSpaceDE w:val="0"/>
              <w:autoSpaceDN w:val="0"/>
              <w:adjustRightInd w:val="0"/>
              <w:spacing w:line="276" w:lineRule="auto"/>
              <w:rPr>
                <w:rFonts w:cs="Arial"/>
                <w:sz w:val="22"/>
              </w:rPr>
            </w:pPr>
          </w:p>
        </w:tc>
      </w:tr>
      <w:bookmarkEnd w:id="99"/>
    </w:tbl>
    <w:p w14:paraId="6B31134C">
      <w:pPr>
        <w:tabs>
          <w:tab w:val="left" w:pos="1663"/>
        </w:tabs>
        <w:ind w:firstLine="0"/>
        <w:rPr>
          <w:rFonts w:cs="Arial"/>
          <w:sz w:val="22"/>
        </w:rPr>
      </w:pPr>
    </w:p>
    <w:p w14:paraId="1C9E6BEE">
      <w:pPr>
        <w:ind w:firstLine="0"/>
        <w:rPr>
          <w:rFonts w:cs="Arial"/>
          <w:sz w:val="22"/>
        </w:rPr>
      </w:pPr>
    </w:p>
    <w:p w14:paraId="0ED80F18">
      <w:pPr>
        <w:pStyle w:val="3"/>
        <w:numPr>
          <w:ilvl w:val="1"/>
          <w:numId w:val="41"/>
        </w:numPr>
        <w:rPr>
          <w:rFonts w:cs="Arial"/>
          <w:sz w:val="22"/>
          <w:szCs w:val="22"/>
          <w:lang w:val="ro-RO"/>
        </w:rPr>
      </w:pPr>
      <w:bookmarkStart w:id="100" w:name="_Toc201926357"/>
      <w:r>
        <w:rPr>
          <w:rFonts w:cs="Arial"/>
          <w:sz w:val="22"/>
          <w:szCs w:val="22"/>
          <w:lang w:val="ro-RO"/>
        </w:rPr>
        <w:t>POLITICA DE COEZIUNE</w:t>
      </w:r>
      <w:bookmarkEnd w:id="100"/>
    </w:p>
    <w:p w14:paraId="76D03A6D">
      <w:pPr>
        <w:pStyle w:val="52"/>
        <w:rPr>
          <w:rFonts w:ascii="Arial" w:hAnsi="Arial" w:cs="Arial"/>
          <w:szCs w:val="22"/>
          <w:lang w:val="ro-RO"/>
        </w:rPr>
      </w:pPr>
      <w:r>
        <w:rPr>
          <w:rFonts w:ascii="Arial" w:hAnsi="Arial" w:cs="Arial"/>
          <w:szCs w:val="22"/>
          <w:lang w:val="ro-RO"/>
        </w:rPr>
        <w:t xml:space="preserve">Politica de coeziune finanțează investiții care să contribuie la îndeplinirea celor 5 obiective principale stabilite pentru perioada 2021 – 2027, astfel: </w:t>
      </w:r>
    </w:p>
    <w:p w14:paraId="2D5E54B2">
      <w:pPr>
        <w:pStyle w:val="52"/>
        <w:spacing w:after="0" w:line="360" w:lineRule="auto"/>
        <w:rPr>
          <w:rFonts w:ascii="Arial" w:hAnsi="Arial" w:cs="Arial"/>
          <w:szCs w:val="22"/>
          <w:lang w:val="ro-RO"/>
        </w:rPr>
      </w:pPr>
      <w:r>
        <w:rPr>
          <w:rFonts w:ascii="Arial" w:hAnsi="Arial" w:cs="Arial"/>
          <w:szCs w:val="22"/>
          <w:lang w:val="ro-RO"/>
        </w:rPr>
        <w:t xml:space="preserve">1. </w:t>
      </w:r>
      <w:r>
        <w:rPr>
          <w:rFonts w:ascii="Arial" w:hAnsi="Arial" w:cs="Arial"/>
          <w:b/>
          <w:szCs w:val="22"/>
          <w:lang w:val="ro-RO"/>
        </w:rPr>
        <w:t>Europă mai inteligentă</w:t>
      </w:r>
      <w:r>
        <w:rPr>
          <w:rFonts w:ascii="Arial" w:hAnsi="Arial" w:cs="Arial"/>
          <w:szCs w:val="22"/>
          <w:lang w:val="ro-RO"/>
        </w:rPr>
        <w:t>, prin inovare, digitalizare, transformare economică și sprijinirea întreprinderilor mici și mijlocii.</w:t>
      </w:r>
    </w:p>
    <w:p w14:paraId="16E3F620">
      <w:pPr>
        <w:pStyle w:val="52"/>
        <w:spacing w:after="0" w:line="360" w:lineRule="auto"/>
        <w:rPr>
          <w:rFonts w:ascii="Arial" w:hAnsi="Arial" w:cs="Arial"/>
          <w:szCs w:val="22"/>
          <w:lang w:val="ro-RO"/>
        </w:rPr>
      </w:pPr>
      <w:r>
        <w:rPr>
          <w:rFonts w:ascii="Arial" w:hAnsi="Arial" w:cs="Arial"/>
          <w:szCs w:val="22"/>
          <w:lang w:val="ro-RO"/>
        </w:rPr>
        <w:t xml:space="preserve">2. </w:t>
      </w:r>
      <w:r>
        <w:rPr>
          <w:rFonts w:ascii="Arial" w:hAnsi="Arial" w:cs="Arial"/>
          <w:b/>
          <w:szCs w:val="22"/>
          <w:lang w:val="ro-RO"/>
        </w:rPr>
        <w:t>Europă mai verde</w:t>
      </w:r>
      <w:r>
        <w:rPr>
          <w:rFonts w:ascii="Arial" w:hAnsi="Arial" w:cs="Arial"/>
          <w:szCs w:val="22"/>
          <w:lang w:val="ro-RO"/>
        </w:rPr>
        <w:t xml:space="preserve">, fără emisii de carbon, punerea în aplicare a Acordului de la Paris și investiții în tranziția energetică, energia din surse regenerabile și combaterea schimbărilor climatice. </w:t>
      </w:r>
    </w:p>
    <w:p w14:paraId="4265EBB6">
      <w:pPr>
        <w:pStyle w:val="52"/>
        <w:spacing w:after="0" w:line="360" w:lineRule="auto"/>
        <w:rPr>
          <w:rFonts w:ascii="Arial" w:hAnsi="Arial" w:cs="Arial"/>
          <w:szCs w:val="22"/>
          <w:lang w:val="ro-RO"/>
        </w:rPr>
      </w:pPr>
      <w:r>
        <w:rPr>
          <w:rFonts w:ascii="Arial" w:hAnsi="Arial" w:cs="Arial"/>
          <w:szCs w:val="22"/>
          <w:lang w:val="ro-RO"/>
        </w:rPr>
        <w:t xml:space="preserve">3. </w:t>
      </w:r>
      <w:r>
        <w:rPr>
          <w:rFonts w:ascii="Arial" w:hAnsi="Arial" w:cs="Arial"/>
          <w:b/>
          <w:szCs w:val="22"/>
          <w:lang w:val="ro-RO"/>
        </w:rPr>
        <w:t>Europă conectată</w:t>
      </w:r>
      <w:r>
        <w:rPr>
          <w:rFonts w:ascii="Arial" w:hAnsi="Arial" w:cs="Arial"/>
          <w:szCs w:val="22"/>
          <w:lang w:val="ro-RO"/>
        </w:rPr>
        <w:t xml:space="preserve">, cu rețele strategice de transport și digitale. </w:t>
      </w:r>
    </w:p>
    <w:p w14:paraId="5B1086E6">
      <w:pPr>
        <w:pStyle w:val="52"/>
        <w:spacing w:after="0" w:line="360" w:lineRule="auto"/>
        <w:rPr>
          <w:rFonts w:ascii="Arial" w:hAnsi="Arial" w:cs="Arial"/>
          <w:szCs w:val="22"/>
          <w:lang w:val="ro-RO"/>
        </w:rPr>
      </w:pPr>
      <w:r>
        <w:rPr>
          <w:rFonts w:ascii="Arial" w:hAnsi="Arial" w:cs="Arial"/>
          <w:szCs w:val="22"/>
          <w:lang w:val="ro-RO"/>
        </w:rPr>
        <w:t xml:space="preserve">4. </w:t>
      </w:r>
      <w:r>
        <w:rPr>
          <w:rFonts w:ascii="Arial" w:hAnsi="Arial" w:cs="Arial"/>
          <w:b/>
          <w:szCs w:val="22"/>
          <w:lang w:val="ro-RO"/>
        </w:rPr>
        <w:t>Europă mai socială</w:t>
      </w:r>
      <w:r>
        <w:rPr>
          <w:rFonts w:ascii="Arial" w:hAnsi="Arial" w:cs="Arial"/>
          <w:szCs w:val="22"/>
          <w:lang w:val="ro-RO"/>
        </w:rPr>
        <w:t xml:space="preserve">, pentru realizarea pilonului european al drepturilor sociale și sprijinirea calității locurilor de muncă, a învățământului, a competențelor, a incluziunii sociale și a accesului egal la sistemul de sănătate. </w:t>
      </w:r>
    </w:p>
    <w:p w14:paraId="241400F8">
      <w:pPr>
        <w:pStyle w:val="52"/>
        <w:spacing w:after="0" w:line="360" w:lineRule="auto"/>
        <w:rPr>
          <w:rFonts w:ascii="Arial" w:hAnsi="Arial" w:cs="Arial"/>
          <w:szCs w:val="22"/>
          <w:lang w:val="ro-RO"/>
        </w:rPr>
      </w:pPr>
      <w:r>
        <w:rPr>
          <w:rFonts w:ascii="Arial" w:hAnsi="Arial" w:cs="Arial"/>
          <w:szCs w:val="22"/>
          <w:lang w:val="ro-RO"/>
        </w:rPr>
        <w:t xml:space="preserve">5. </w:t>
      </w:r>
      <w:r>
        <w:rPr>
          <w:rFonts w:ascii="Arial" w:hAnsi="Arial" w:cs="Arial"/>
          <w:b/>
          <w:szCs w:val="22"/>
          <w:lang w:val="ro-RO"/>
        </w:rPr>
        <w:t>Europă mai apropiată de cetățenii săi</w:t>
      </w:r>
      <w:r>
        <w:rPr>
          <w:rFonts w:ascii="Arial" w:hAnsi="Arial" w:cs="Arial"/>
          <w:szCs w:val="22"/>
          <w:lang w:val="ro-RO"/>
        </w:rPr>
        <w:t xml:space="preserve">, prin sprijinirea strategiilor de dezvoltare conduse la nivel local și a dezvoltării urbane durabile în UE. </w:t>
      </w:r>
    </w:p>
    <w:p w14:paraId="2E75F4A6">
      <w:pPr>
        <w:pStyle w:val="52"/>
        <w:spacing w:after="0" w:line="360" w:lineRule="auto"/>
        <w:rPr>
          <w:rFonts w:ascii="Arial" w:hAnsi="Arial" w:cs="Arial"/>
          <w:szCs w:val="22"/>
          <w:lang w:val="ro-RO"/>
        </w:rPr>
      </w:pPr>
      <w:r>
        <w:rPr>
          <w:rFonts w:ascii="Arial" w:hAnsi="Arial" w:cs="Arial"/>
          <w:szCs w:val="22"/>
          <w:lang w:val="ro-RO"/>
        </w:rPr>
        <w:t xml:space="preserve">Analizând obectivele specifice ale Politicii de coeziune, observăm interesul crescut asupra digitalizării și al economiei circulare. </w:t>
      </w:r>
    </w:p>
    <w:p w14:paraId="7E3753E0">
      <w:pPr>
        <w:pStyle w:val="52"/>
        <w:spacing w:after="0" w:line="360" w:lineRule="auto"/>
        <w:rPr>
          <w:rFonts w:ascii="Arial" w:hAnsi="Arial" w:cs="Arial"/>
          <w:szCs w:val="22"/>
          <w:lang w:val="ro-RO"/>
        </w:rPr>
      </w:pPr>
      <w:r>
        <w:rPr>
          <w:rFonts w:ascii="Arial" w:hAnsi="Arial" w:cs="Arial"/>
          <w:b/>
          <w:szCs w:val="22"/>
          <w:lang w:val="ro-RO"/>
        </w:rPr>
        <w:t xml:space="preserve">         POLITICA DE COEZIUNE, </w:t>
      </w:r>
      <w:r>
        <w:rPr>
          <w:rFonts w:ascii="Arial" w:hAnsi="Arial" w:cs="Arial"/>
          <w:szCs w:val="22"/>
          <w:lang w:val="ro-RO"/>
        </w:rPr>
        <w:t>elemente de noutate pentru perioada 2021 – 2027</w:t>
      </w:r>
    </w:p>
    <w:p w14:paraId="2B99B4D5">
      <w:pPr>
        <w:pStyle w:val="52"/>
        <w:spacing w:after="0" w:line="360" w:lineRule="auto"/>
        <w:rPr>
          <w:rFonts w:ascii="Arial" w:hAnsi="Arial" w:cs="Arial"/>
          <w:szCs w:val="22"/>
          <w:lang w:val="ro-RO"/>
        </w:rPr>
      </w:pPr>
      <w:r>
        <w:rPr>
          <w:rFonts w:ascii="Arial" w:hAnsi="Arial" w:cs="Arial"/>
          <w:szCs w:val="22"/>
          <w:lang w:val="ro-RO"/>
        </w:rPr>
        <w:t xml:space="preserve">Plecând de la propunerea Comisiei din 2 mai 2018 privind următorul cadru financiar multianual pentru perioada 2021-2027, anexa D a Raportului de țară din 2019 privind România, inclusiv un bilanț aprofundat referitor la prevenirea și corectarea dezechilibrelor economice, prezintă punctele de vedere preliminare ale serviciilor Comisiei cu privire la domeniile de investiții prioritare și la condițiile-cadru pentru aplicarea eficace a politicii de coeziune în perioada 2021-2027. Aceste domenii de investiții prioritare au fost stabilite în contextul mai amplu al blocajelor în materie de investiții, al nevoilor de investiții și al disparităților regionale analizate în raport. Această anexă constituie baza unui dialog între România și serviciile Comisiei în vederea programării fondurilor politicii de coeziune (Fondul european de dezvoltare regională, Fondul de coeziune și Fondul social european Plus) </w:t>
      </w:r>
    </w:p>
    <w:p w14:paraId="42BB1DFB">
      <w:pPr>
        <w:pStyle w:val="52"/>
        <w:spacing w:after="0" w:line="360" w:lineRule="auto"/>
        <w:rPr>
          <w:rFonts w:ascii="Arial" w:hAnsi="Arial" w:cs="Arial"/>
          <w:szCs w:val="22"/>
          <w:lang w:val="ro-RO"/>
        </w:rPr>
      </w:pPr>
      <w:r>
        <w:rPr>
          <w:rFonts w:ascii="Arial" w:hAnsi="Arial" w:cs="Arial"/>
          <w:b/>
          <w:szCs w:val="22"/>
          <w:lang w:val="ro-RO"/>
        </w:rPr>
        <w:t xml:space="preserve"> Implementarea POR, în viitoarea perioadă de programare, se va face descentralizat, prin 8 programe regionale, gestionate la nivelul agențiilor de dezvoltare regională. </w:t>
      </w:r>
    </w:p>
    <w:p w14:paraId="1F79EE6B">
      <w:pPr>
        <w:pStyle w:val="52"/>
        <w:spacing w:after="0" w:line="360" w:lineRule="auto"/>
        <w:rPr>
          <w:rFonts w:ascii="Arial" w:hAnsi="Arial" w:cs="Arial"/>
          <w:szCs w:val="22"/>
          <w:lang w:val="ro-RO"/>
        </w:rPr>
      </w:pPr>
      <w:r>
        <w:rPr>
          <w:rFonts w:ascii="Arial" w:hAnsi="Arial" w:cs="Arial"/>
          <w:szCs w:val="22"/>
          <w:lang w:val="ro-RO"/>
        </w:rPr>
        <w:t xml:space="preserve">Coordonarea unitară a managementului acestui proces va fi asigurată de Ministerul Lucrărilor Publice, Dezvoltării și Administrației. </w:t>
      </w:r>
    </w:p>
    <w:p w14:paraId="23BC363F">
      <w:pPr>
        <w:pStyle w:val="52"/>
        <w:spacing w:after="0" w:line="360" w:lineRule="auto"/>
        <w:rPr>
          <w:rFonts w:ascii="Arial" w:hAnsi="Arial" w:cs="Arial"/>
          <w:szCs w:val="22"/>
          <w:lang w:val="ro-RO"/>
        </w:rPr>
      </w:pPr>
      <w:r>
        <w:rPr>
          <w:rFonts w:ascii="Arial" w:hAnsi="Arial" w:cs="Arial"/>
          <w:szCs w:val="22"/>
          <w:lang w:val="ro-RO"/>
        </w:rPr>
        <w:t>Ministerul Lucrărilor Publice, Dezvoltării și Administrației nu va mai avea autoritatea de management pentru POR, din anul 2021. În schimb, ar urma să fie 8 autorități de management la nivelul fiecărei regiuni de dezvoltare. Practic, actualele Agenții de Dezvoltare Regională (ADR),</w:t>
      </w:r>
      <w:r>
        <w:rPr>
          <w:rFonts w:ascii="Arial" w:hAnsi="Arial" w:cs="Arial"/>
          <w:color w:val="000000"/>
          <w:szCs w:val="22"/>
          <w:lang w:val="ro-RO"/>
        </w:rPr>
        <w:t xml:space="preserve"> </w:t>
      </w:r>
      <w:r>
        <w:rPr>
          <w:rFonts w:ascii="Arial" w:hAnsi="Arial" w:cs="Arial"/>
          <w:szCs w:val="22"/>
          <w:lang w:val="ro-RO"/>
        </w:rPr>
        <w:t xml:space="preserve">care în prezent au doar rol de organism intermediar, cu numai câteva atribuții delegate de Ministerul Lucrărilor Publice, ar urma să devină autorități de management ele însele. </w:t>
      </w:r>
    </w:p>
    <w:p w14:paraId="09784C12">
      <w:pPr>
        <w:pStyle w:val="52"/>
        <w:spacing w:after="0" w:line="360" w:lineRule="auto"/>
        <w:rPr>
          <w:rFonts w:ascii="Arial" w:hAnsi="Arial" w:cs="Arial"/>
          <w:szCs w:val="22"/>
          <w:lang w:val="ro-RO"/>
        </w:rPr>
      </w:pPr>
      <w:r>
        <w:rPr>
          <w:rFonts w:ascii="Arial" w:hAnsi="Arial" w:cs="Arial"/>
          <w:szCs w:val="22"/>
          <w:lang w:val="ro-RO"/>
        </w:rPr>
        <w:t>Aceste 8 noi autorități de management ale viitoarelor Programe Operaționale Regionale mai mici vor întocmi ghidurile solicitantului pentru diversele linii de finanțare pe care le vor deschide și vor decide prioritățile de investiții care vor fi bugetate.</w:t>
      </w:r>
    </w:p>
    <w:p w14:paraId="670B09E1">
      <w:pPr>
        <w:pStyle w:val="37"/>
        <w:tabs>
          <w:tab w:val="left" w:pos="1848"/>
        </w:tabs>
        <w:ind w:left="600" w:firstLine="0"/>
        <w:rPr>
          <w:rFonts w:cs="Arial"/>
          <w:sz w:val="22"/>
          <w:lang w:val="ro-RO"/>
        </w:rPr>
      </w:pPr>
    </w:p>
    <w:p w14:paraId="50965780">
      <w:pPr>
        <w:rPr>
          <w:rFonts w:cs="Arial"/>
          <w:sz w:val="22"/>
          <w:lang w:val="ro-RO"/>
        </w:rPr>
      </w:pPr>
    </w:p>
    <w:p w14:paraId="744E3BC3">
      <w:pPr>
        <w:pStyle w:val="3"/>
        <w:numPr>
          <w:ilvl w:val="1"/>
          <w:numId w:val="41"/>
        </w:numPr>
        <w:rPr>
          <w:rFonts w:cs="Arial"/>
          <w:sz w:val="22"/>
          <w:szCs w:val="22"/>
          <w:lang w:val="ro-RO"/>
        </w:rPr>
      </w:pPr>
      <w:bookmarkStart w:id="101" w:name="_Toc201926358"/>
      <w:r>
        <w:rPr>
          <w:rFonts w:cs="Arial"/>
          <w:sz w:val="22"/>
          <w:szCs w:val="22"/>
          <w:lang w:val="ro-RO"/>
        </w:rPr>
        <w:t>POLITICA AGRICOLĂ COMUNĂ</w:t>
      </w:r>
      <w:bookmarkEnd w:id="101"/>
    </w:p>
    <w:p w14:paraId="562FAA0B">
      <w:pPr>
        <w:pStyle w:val="3"/>
        <w:numPr>
          <w:ilvl w:val="1"/>
          <w:numId w:val="41"/>
        </w:numPr>
        <w:rPr>
          <w:rFonts w:cs="Arial"/>
          <w:sz w:val="22"/>
          <w:szCs w:val="22"/>
          <w:lang w:val="ro-RO"/>
        </w:rPr>
      </w:pPr>
      <w:bookmarkStart w:id="102" w:name="_Toc201926359"/>
      <w:r>
        <w:rPr>
          <w:rFonts w:cs="Arial"/>
          <w:sz w:val="22"/>
          <w:szCs w:val="22"/>
          <w:lang w:val="ro-RO"/>
        </w:rPr>
        <w:t>IMPLEMENTAREA, MONITORIZAREA ȘI EVALUAREA STRATEGIEI DE DEZVOLTARE LOCALĂ</w:t>
      </w:r>
      <w:bookmarkEnd w:id="102"/>
    </w:p>
    <w:p w14:paraId="32C01E06">
      <w:pPr>
        <w:pStyle w:val="4"/>
        <w:numPr>
          <w:ilvl w:val="2"/>
          <w:numId w:val="41"/>
        </w:numPr>
        <w:rPr>
          <w:rFonts w:cs="Arial"/>
          <w:sz w:val="22"/>
          <w:szCs w:val="22"/>
          <w:lang w:val="ro-RO"/>
        </w:rPr>
      </w:pPr>
      <w:bookmarkStart w:id="103" w:name="_Toc121175469"/>
      <w:bookmarkStart w:id="104" w:name="_Toc79920587"/>
      <w:bookmarkStart w:id="105" w:name="_Toc113636428"/>
      <w:bookmarkStart w:id="106" w:name="_Toc201926360"/>
      <w:r>
        <w:rPr>
          <w:rFonts w:cs="Arial"/>
          <w:sz w:val="22"/>
          <w:szCs w:val="22"/>
          <w:lang w:val="ro-RO"/>
        </w:rPr>
        <w:t>Mecanismul de guvernanță pentru implementarea, monitorizarea și evaluarea strategiei</w:t>
      </w:r>
      <w:bookmarkEnd w:id="103"/>
      <w:bookmarkEnd w:id="104"/>
      <w:bookmarkEnd w:id="105"/>
      <w:bookmarkEnd w:id="106"/>
      <w:bookmarkStart w:id="107" w:name="_Toc67515611"/>
      <w:r>
        <w:rPr>
          <w:rFonts w:cs="Arial"/>
          <w:sz w:val="22"/>
          <w:szCs w:val="22"/>
          <w:lang w:val="ro-RO"/>
        </w:rPr>
        <w:t xml:space="preserve"> </w:t>
      </w:r>
    </w:p>
    <w:bookmarkEnd w:id="107"/>
    <w:p w14:paraId="4FD3C128">
      <w:pPr>
        <w:tabs>
          <w:tab w:val="left" w:pos="1848"/>
        </w:tabs>
        <w:rPr>
          <w:rFonts w:cs="Arial"/>
          <w:sz w:val="22"/>
          <w:lang w:val="ro-RO"/>
        </w:rPr>
      </w:pPr>
      <w:bookmarkStart w:id="108" w:name="_Toc121175331"/>
      <w:bookmarkStart w:id="109" w:name="_Toc81815295"/>
      <w:r>
        <w:rPr>
          <w:rFonts w:cs="Arial"/>
          <w:sz w:val="22"/>
          <w:lang w:val="ro-RO"/>
        </w:rPr>
        <w:t>Strategia de Dezvoltare Locală a Comunei Șimian pentru perioada 2025-2027 este documentul fundamental care stabilește principalele direcții de evoluție ale localității pe termen scurt și mediu. Pentru a asigura atingerea obiectivelor propuse, este necesară implementarea unei metodologii clare de monitorizare și control, care să permită adaptarea rapidă la eventuale provocări sau oportunități apărute pe parcursul derulării strategiei.</w:t>
      </w:r>
    </w:p>
    <w:p w14:paraId="09A5F958">
      <w:pPr>
        <w:tabs>
          <w:tab w:val="left" w:pos="1848"/>
        </w:tabs>
        <w:rPr>
          <w:rFonts w:cs="Arial"/>
          <w:sz w:val="22"/>
          <w:lang w:val="ro-RO"/>
        </w:rPr>
      </w:pPr>
      <w:r>
        <w:rPr>
          <w:rFonts w:cs="Arial"/>
          <w:sz w:val="22"/>
          <w:lang w:val="ro-RO"/>
        </w:rPr>
        <w:t>Responsabilitatea principală pentru implementarea strategiei revine Primăriei Comunei Șimian, însă succesul acestui demers depinde de construirea unor parteneriate solide pe tot parcursul procesului. Este esențială atât o abordare integrată pe verticală, care să implice colaborarea între diferite niveluri administrative, cât și pe orizontală, prin cooperarea cu actori locali relevanți din mediul economic și social, pentru identificarea celor mai potrivite soluții la nevoile și provocările comunității.</w:t>
      </w:r>
    </w:p>
    <w:p w14:paraId="3F5B6854">
      <w:pPr>
        <w:tabs>
          <w:tab w:val="left" w:pos="1848"/>
        </w:tabs>
        <w:rPr>
          <w:rFonts w:cs="Arial"/>
          <w:sz w:val="22"/>
          <w:lang w:val="ro-RO"/>
        </w:rPr>
      </w:pPr>
      <w:r>
        <w:rPr>
          <w:rFonts w:cs="Arial"/>
          <w:sz w:val="22"/>
          <w:lang w:val="ro-RO"/>
        </w:rPr>
        <w:t>Echipa de implementare va fi formată din personalul specializat al Primăriei Șimian, cu experiență relevantă în gestionarea proiectelor de dezvoltare. Această structură va avea următoarele atribuții principale:</w:t>
      </w:r>
    </w:p>
    <w:p w14:paraId="30BE43AC">
      <w:pPr>
        <w:tabs>
          <w:tab w:val="left" w:pos="1848"/>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Monitorizarea progresului în realizarea obiectivelor generale și specifice ale strategiei;</w:t>
      </w:r>
    </w:p>
    <w:p w14:paraId="0E36D935">
      <w:pPr>
        <w:tabs>
          <w:tab w:val="left" w:pos="1848"/>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Actualizarea documentului strategic în funcție de eventualele abateri de la planificare sau de apariția unor noi oportunități;</w:t>
      </w:r>
    </w:p>
    <w:p w14:paraId="693770D0">
      <w:pPr>
        <w:tabs>
          <w:tab w:val="left" w:pos="1848"/>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Inițierea și dezvoltarea de relații cu potențiali finanțatori, precum și diseminarea informațiilor relevante către departamentele și instituțiile de specialitate pentru facilitarea accesării surselor de finanțare;</w:t>
      </w:r>
    </w:p>
    <w:p w14:paraId="0EEFBC00">
      <w:pPr>
        <w:tabs>
          <w:tab w:val="left" w:pos="1848"/>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Organizarea de întâlniri și evenimente cu diverse ocazii, cum ar fi lansarea de programe, debutul sau finalizarea unor proiecte, consultări publice sau alte acțiuni relevante pentru comunitate.</w:t>
      </w:r>
    </w:p>
    <w:p w14:paraId="514D7B37">
      <w:pPr>
        <w:tabs>
          <w:tab w:val="left" w:pos="1848"/>
        </w:tabs>
        <w:rPr>
          <w:rFonts w:cs="Arial"/>
          <w:sz w:val="22"/>
          <w:lang w:val="ro-RO"/>
        </w:rPr>
      </w:pPr>
      <w:r>
        <w:rPr>
          <w:rFonts w:cs="Arial"/>
          <w:sz w:val="22"/>
          <w:lang w:val="ro-RO"/>
        </w:rPr>
        <w:t>Guvernanța implementării strategiei este structurată pe trei niveluri: decizional, strategic și operațional, asigurând astfel un cadru coerent de coordonare și monitorizare a procesului de dezvoltare locală</w:t>
      </w:r>
    </w:p>
    <w:bookmarkEnd w:id="108"/>
    <w:bookmarkEnd w:id="109"/>
    <w:p w14:paraId="6500BF4E">
      <w:pPr>
        <w:pStyle w:val="14"/>
        <w:rPr>
          <w:sz w:val="22"/>
          <w:szCs w:val="22"/>
        </w:rPr>
      </w:pPr>
    </w:p>
    <w:p w14:paraId="14CE561D">
      <w:pPr>
        <w:ind w:left="-540" w:firstLine="540"/>
        <w:jc w:val="center"/>
        <w:rPr>
          <w:rFonts w:cs="Arial"/>
          <w:sz w:val="22"/>
        </w:rPr>
      </w:pPr>
      <w:bookmarkStart w:id="110" w:name="_Toc79920588"/>
      <w:r>
        <w:rPr>
          <w:rFonts w:cs="Arial"/>
          <w:sz w:val="22"/>
        </w:rPr>
        <w:drawing>
          <wp:inline distT="0" distB="0" distL="0" distR="0">
            <wp:extent cx="6317615" cy="3603625"/>
            <wp:effectExtent l="0" t="0" r="0" b="3175"/>
            <wp:docPr id="2089086393" name="Picture 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86393" name="Picture 2" descr="A screenshot of a diagram&#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0424" cy="3610818"/>
                    </a:xfrm>
                    <a:prstGeom prst="rect">
                      <a:avLst/>
                    </a:prstGeom>
                  </pic:spPr>
                </pic:pic>
              </a:graphicData>
            </a:graphic>
          </wp:inline>
        </w:drawing>
      </w:r>
    </w:p>
    <w:p w14:paraId="32ACE814">
      <w:pPr>
        <w:rPr>
          <w:rFonts w:cs="Arial"/>
          <w:sz w:val="22"/>
        </w:rPr>
      </w:pPr>
      <w:r>
        <w:rPr>
          <w:rFonts w:cs="Arial"/>
          <w:sz w:val="22"/>
        </w:rPr>
        <w:t>Procesul de gestionare și implementare a strategiei presupune parcurgerea unor etape clare și structurate, menite să asigure eficiența și conformitatea cu cerințele europene:</w:t>
      </w:r>
    </w:p>
    <w:p w14:paraId="2E5003E2">
      <w:pPr>
        <w:pStyle w:val="37"/>
        <w:numPr>
          <w:ilvl w:val="3"/>
          <w:numId w:val="4"/>
        </w:numPr>
        <w:ind w:left="1170"/>
        <w:rPr>
          <w:rFonts w:cs="Arial"/>
          <w:sz w:val="22"/>
        </w:rPr>
      </w:pPr>
      <w:r>
        <w:rPr>
          <w:rFonts w:cs="Arial"/>
          <w:sz w:val="22"/>
        </w:rPr>
        <w:t>Instruirea membrilor echipelor de proiect cu privire la procedurile și activitățile necesare implementării proiectelor, inclusiv adaptarea la standardele Uniunii Europene;</w:t>
      </w:r>
    </w:p>
    <w:p w14:paraId="4EB1CCEB">
      <w:pPr>
        <w:pStyle w:val="37"/>
        <w:numPr>
          <w:ilvl w:val="3"/>
          <w:numId w:val="4"/>
        </w:numPr>
        <w:ind w:left="1170"/>
        <w:rPr>
          <w:rFonts w:cs="Arial"/>
          <w:sz w:val="22"/>
        </w:rPr>
      </w:pPr>
      <w:r>
        <w:rPr>
          <w:rFonts w:cs="Arial"/>
          <w:sz w:val="22"/>
        </w:rPr>
        <w:t>Realizarea de analize periodice și ad-hoc pentru evaluarea îndeplinirii sarcinilor fiecărui membru al echipei;</w:t>
      </w:r>
    </w:p>
    <w:p w14:paraId="160F28B8">
      <w:pPr>
        <w:pStyle w:val="37"/>
        <w:numPr>
          <w:ilvl w:val="3"/>
          <w:numId w:val="4"/>
        </w:numPr>
        <w:ind w:left="1170"/>
        <w:rPr>
          <w:rFonts w:cs="Arial"/>
          <w:sz w:val="22"/>
        </w:rPr>
      </w:pPr>
      <w:r>
        <w:rPr>
          <w:rFonts w:cs="Arial"/>
          <w:sz w:val="22"/>
        </w:rPr>
        <w:t>Pregătirea și participarea activă la toate activitățile proiectului, în funcție de atribuțiile și competențele stabilite;</w:t>
      </w:r>
    </w:p>
    <w:p w14:paraId="5E99CA0C">
      <w:pPr>
        <w:pStyle w:val="37"/>
        <w:numPr>
          <w:ilvl w:val="3"/>
          <w:numId w:val="4"/>
        </w:numPr>
        <w:ind w:left="1170"/>
        <w:rPr>
          <w:rFonts w:cs="Arial"/>
          <w:sz w:val="22"/>
        </w:rPr>
      </w:pPr>
      <w:r>
        <w:rPr>
          <w:rFonts w:cs="Arial"/>
          <w:sz w:val="22"/>
        </w:rPr>
        <w:t>Elaborarea și transmiterea rapoartelor tehnice și economice aferente proiectelor;</w:t>
      </w:r>
    </w:p>
    <w:p w14:paraId="4CE918D5">
      <w:pPr>
        <w:pStyle w:val="37"/>
        <w:numPr>
          <w:ilvl w:val="3"/>
          <w:numId w:val="4"/>
        </w:numPr>
        <w:ind w:left="1170"/>
        <w:rPr>
          <w:rFonts w:cs="Arial"/>
          <w:sz w:val="22"/>
        </w:rPr>
      </w:pPr>
      <w:r>
        <w:rPr>
          <w:rFonts w:cs="Arial"/>
          <w:sz w:val="22"/>
        </w:rPr>
        <w:t>Participarea la ședințele de analiză a progresului strategiei, împreună cu ceilalți actori implicați;</w:t>
      </w:r>
    </w:p>
    <w:p w14:paraId="256A817E">
      <w:pPr>
        <w:pStyle w:val="37"/>
        <w:numPr>
          <w:ilvl w:val="3"/>
          <w:numId w:val="4"/>
        </w:numPr>
        <w:ind w:left="1170"/>
        <w:rPr>
          <w:rFonts w:cs="Arial"/>
          <w:sz w:val="22"/>
        </w:rPr>
      </w:pPr>
      <w:r>
        <w:rPr>
          <w:rFonts w:cs="Arial"/>
          <w:sz w:val="22"/>
        </w:rPr>
        <w:t>Efectuarea vizitelor pe teren pentru monitorizarea directă a stadiului implementării;</w:t>
      </w:r>
    </w:p>
    <w:p w14:paraId="01F677A6">
      <w:pPr>
        <w:pStyle w:val="37"/>
        <w:numPr>
          <w:ilvl w:val="3"/>
          <w:numId w:val="4"/>
        </w:numPr>
        <w:ind w:left="1170"/>
        <w:rPr>
          <w:rFonts w:cs="Arial"/>
          <w:sz w:val="22"/>
        </w:rPr>
      </w:pPr>
      <w:r>
        <w:rPr>
          <w:rFonts w:cs="Arial"/>
          <w:sz w:val="22"/>
        </w:rPr>
        <w:t>Redactarea informărilor și a rapoartelor de progres privind implementarea strategiei;</w:t>
      </w:r>
    </w:p>
    <w:p w14:paraId="6758C99C">
      <w:pPr>
        <w:pStyle w:val="37"/>
        <w:numPr>
          <w:ilvl w:val="3"/>
          <w:numId w:val="4"/>
        </w:numPr>
        <w:ind w:left="1170"/>
        <w:rPr>
          <w:rFonts w:cs="Arial"/>
          <w:sz w:val="22"/>
        </w:rPr>
      </w:pPr>
      <w:r>
        <w:rPr>
          <w:rFonts w:cs="Arial"/>
          <w:sz w:val="22"/>
        </w:rPr>
        <w:t>Întocmirea documentelor necesare pentru solicitarea fondurilor și efectuarea plăților, după aprobarea documentației primare;</w:t>
      </w:r>
    </w:p>
    <w:p w14:paraId="543B4941">
      <w:pPr>
        <w:pStyle w:val="37"/>
        <w:numPr>
          <w:ilvl w:val="3"/>
          <w:numId w:val="4"/>
        </w:numPr>
        <w:ind w:left="1170"/>
        <w:rPr>
          <w:rFonts w:cs="Arial"/>
          <w:sz w:val="22"/>
        </w:rPr>
      </w:pPr>
      <w:r>
        <w:rPr>
          <w:rFonts w:cs="Arial"/>
          <w:sz w:val="22"/>
        </w:rPr>
        <w:t>Obținerea tuturor avizelor, acordurilor și aprobărilor necesare pentru derularea proiectelor;</w:t>
      </w:r>
    </w:p>
    <w:p w14:paraId="01761C75">
      <w:pPr>
        <w:pStyle w:val="37"/>
        <w:numPr>
          <w:ilvl w:val="3"/>
          <w:numId w:val="4"/>
        </w:numPr>
        <w:ind w:left="1170"/>
        <w:rPr>
          <w:rFonts w:cs="Arial"/>
          <w:sz w:val="22"/>
        </w:rPr>
      </w:pPr>
      <w:r>
        <w:rPr>
          <w:rFonts w:cs="Arial"/>
          <w:sz w:val="22"/>
        </w:rPr>
        <w:t>Notificarea promptă a tuturor neregulilor sau disfuncționalităților către factorii implicați;</w:t>
      </w:r>
    </w:p>
    <w:p w14:paraId="2B2E5FD0">
      <w:pPr>
        <w:pStyle w:val="37"/>
        <w:numPr>
          <w:ilvl w:val="3"/>
          <w:numId w:val="4"/>
        </w:numPr>
        <w:ind w:left="1170"/>
        <w:rPr>
          <w:rFonts w:cs="Arial"/>
          <w:sz w:val="22"/>
        </w:rPr>
      </w:pPr>
      <w:r>
        <w:rPr>
          <w:rFonts w:cs="Arial"/>
          <w:sz w:val="22"/>
        </w:rPr>
        <w:t>Arhivarea corespunzătoare a documentelor strategiei pentru asigurarea trasabilității și transparenței.</w:t>
      </w:r>
    </w:p>
    <w:p w14:paraId="0FA730C6">
      <w:pPr>
        <w:ind w:firstLine="0"/>
        <w:rPr>
          <w:rFonts w:cs="Arial"/>
          <w:sz w:val="22"/>
        </w:rPr>
      </w:pPr>
      <w:r>
        <w:rPr>
          <w:rFonts w:cs="Arial"/>
          <w:sz w:val="22"/>
        </w:rPr>
        <w:t>La Nivelul strategic, implementarea SDL Șimian 2025 – 2027 va fi susținută de parteneri din medii diverse precum ONG, mediul privat, instituții pubice, alte UAT, precum si de către Consiliul Județean Mehedinți.  Aceșia vor avea rolul de a participa la selectarea proiectelor propuse pentru implementare, conform listei de prioritizare a proiectelor aprobată de către Consiliul local. De asemenea, in funcție de proiect, partenerii pot avea un rol active în implementarea proiectelor. Consiliul Județean Mehedinți, în calitate de partener, s-a implicat in propunerea și selecția proiectelor prioritare încă din faza de elaborare a actualei versiuni a SDL Mehedinți.</w:t>
      </w:r>
    </w:p>
    <w:p w14:paraId="06989D49">
      <w:pPr>
        <w:rPr>
          <w:rFonts w:cs="Arial"/>
          <w:sz w:val="22"/>
        </w:rPr>
      </w:pPr>
      <w:r>
        <w:rPr>
          <w:rFonts w:cs="Arial"/>
          <w:sz w:val="22"/>
        </w:rPr>
        <w:t>Metodologia de implementare și control va integra și aspecte manageriale orizontale, precum managementul eficient al timpului pentru activități și proiecte, monitorizarea riscurilor financiare și a celor asociate achizițiilor publice, precum și utilizarea unor instrumente moderne de management al resurselor umane, pentru a asigura un personal adecvat obiectivelor și activităților prevăzute în strategie</w:t>
      </w:r>
    </w:p>
    <w:bookmarkEnd w:id="110"/>
    <w:p w14:paraId="68A26249">
      <w:pPr>
        <w:pStyle w:val="4"/>
        <w:numPr>
          <w:ilvl w:val="2"/>
          <w:numId w:val="41"/>
        </w:numPr>
        <w:rPr>
          <w:rFonts w:cs="Arial"/>
          <w:sz w:val="22"/>
          <w:szCs w:val="22"/>
          <w:lang w:val="ro-RO"/>
        </w:rPr>
      </w:pPr>
      <w:bookmarkStart w:id="111" w:name="_Toc201926361"/>
      <w:r>
        <w:rPr>
          <w:rFonts w:cs="Arial"/>
          <w:sz w:val="22"/>
          <w:szCs w:val="22"/>
          <w:lang w:val="ro-RO"/>
        </w:rPr>
        <w:t>Implementarea Strategiei de Dezvoltare Locală</w:t>
      </w:r>
      <w:bookmarkEnd w:id="111"/>
      <w:r>
        <w:rPr>
          <w:rFonts w:cs="Arial"/>
          <w:sz w:val="22"/>
          <w:szCs w:val="22"/>
          <w:lang w:val="ro-RO"/>
        </w:rPr>
        <w:t xml:space="preserve"> </w:t>
      </w:r>
    </w:p>
    <w:p w14:paraId="1FAA26B0">
      <w:pPr>
        <w:pStyle w:val="4"/>
        <w:numPr>
          <w:ilvl w:val="2"/>
          <w:numId w:val="41"/>
        </w:numPr>
        <w:rPr>
          <w:rFonts w:cs="Arial"/>
          <w:sz w:val="22"/>
          <w:szCs w:val="22"/>
          <w:lang w:val="ro-RO"/>
        </w:rPr>
      </w:pPr>
      <w:bookmarkStart w:id="112" w:name="_Toc201926362"/>
      <w:r>
        <w:rPr>
          <w:rFonts w:cs="Arial"/>
          <w:sz w:val="22"/>
          <w:szCs w:val="22"/>
          <w:lang w:val="ro-RO"/>
        </w:rPr>
        <w:t>Monitorizarea Strategiei de Dezvoltare Locală</w:t>
      </w:r>
      <w:bookmarkEnd w:id="112"/>
    </w:p>
    <w:p w14:paraId="3D44F34A">
      <w:pPr>
        <w:tabs>
          <w:tab w:val="left" w:pos="720"/>
          <w:tab w:val="left" w:pos="1440"/>
          <w:tab w:val="left" w:pos="2160"/>
          <w:tab w:val="center" w:pos="5179"/>
          <w:tab w:val="left" w:pos="5610"/>
        </w:tabs>
        <w:rPr>
          <w:rFonts w:cs="Arial"/>
          <w:sz w:val="22"/>
          <w:lang w:val="ro-RO"/>
        </w:rPr>
      </w:pPr>
      <w:bookmarkStart w:id="113" w:name="OLE_LINK27"/>
      <w:r>
        <w:rPr>
          <w:rFonts w:cs="Arial"/>
          <w:sz w:val="22"/>
          <w:lang w:val="ro-RO"/>
        </w:rPr>
        <w:t>Monitorizarea implementării strategiei reprezintă o practică insuficient cunoscută și aplicată în administrația publică, însă este esențială pentru asigurarea transparenței și eficienței procesului de dezvoltare locală. Pentru a evalua corect progresul și performanțele strategiei în raport cu obiectivele stabilite, este necesară definirea unui set clar de indicatori de monitorizare.</w:t>
      </w:r>
    </w:p>
    <w:p w14:paraId="19362DE9">
      <w:pPr>
        <w:tabs>
          <w:tab w:val="left" w:pos="720"/>
          <w:tab w:val="left" w:pos="1440"/>
          <w:tab w:val="left" w:pos="2160"/>
          <w:tab w:val="center" w:pos="5179"/>
          <w:tab w:val="left" w:pos="5610"/>
        </w:tabs>
        <w:rPr>
          <w:rFonts w:cs="Arial"/>
          <w:sz w:val="22"/>
          <w:lang w:val="ro-RO"/>
        </w:rPr>
      </w:pPr>
      <w:r>
        <w:rPr>
          <w:rFonts w:cs="Arial"/>
          <w:sz w:val="22"/>
          <w:lang w:val="ro-RO"/>
        </w:rPr>
        <w:t>Procesul de monitorizare va fi realizat prin întocmirea unor rapoarte anuale de către comisia de monitorizare, care va analiza următoarele aspecte:</w:t>
      </w:r>
    </w:p>
    <w:p w14:paraId="4E8BF6D2">
      <w:pPr>
        <w:tabs>
          <w:tab w:val="left" w:pos="720"/>
          <w:tab w:val="left" w:pos="1440"/>
          <w:tab w:val="left" w:pos="2160"/>
          <w:tab w:val="center" w:pos="5179"/>
          <w:tab w:val="left" w:pos="5610"/>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stadiul de implementare a acțiunilor prevăzute în strategie;</w:t>
      </w:r>
    </w:p>
    <w:p w14:paraId="6A88B273">
      <w:pPr>
        <w:tabs>
          <w:tab w:val="left" w:pos="720"/>
          <w:tab w:val="left" w:pos="1440"/>
          <w:tab w:val="left" w:pos="2160"/>
          <w:tab w:val="center" w:pos="5179"/>
          <w:tab w:val="left" w:pos="5610"/>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necesitatea revizuirii sau ajustării anumitor acțiuni, acolo unde este cazul;</w:t>
      </w:r>
    </w:p>
    <w:p w14:paraId="1932CFA7">
      <w:pPr>
        <w:tabs>
          <w:tab w:val="left" w:pos="720"/>
          <w:tab w:val="left" w:pos="1440"/>
          <w:tab w:val="left" w:pos="2160"/>
          <w:tab w:val="center" w:pos="5179"/>
          <w:tab w:val="left" w:pos="5610"/>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timpul rămas estimat până la finalizarea fiecărei acțiuni;</w:t>
      </w:r>
    </w:p>
    <w:p w14:paraId="4D550665">
      <w:pPr>
        <w:tabs>
          <w:tab w:val="left" w:pos="720"/>
          <w:tab w:val="left" w:pos="1440"/>
          <w:tab w:val="left" w:pos="2160"/>
          <w:tab w:val="center" w:pos="5179"/>
          <w:tab w:val="left" w:pos="5610"/>
        </w:tabs>
        <w:rPr>
          <w:rFonts w:cs="Arial"/>
          <w:sz w:val="22"/>
          <w:lang w:val="ro-RO"/>
        </w:rPr>
      </w:pPr>
      <w:r>
        <w:rPr>
          <w:rFonts w:cs="Arial"/>
          <w:sz w:val="22"/>
          <w:lang w:val="ro-RO"/>
        </w:rPr>
        <w:tab/>
      </w:r>
      <w:r>
        <w:rPr>
          <w:rFonts w:cs="Arial"/>
          <w:sz w:val="22"/>
          <w:lang w:val="ro-RO"/>
        </w:rPr>
        <w:t>•</w:t>
      </w:r>
      <w:r>
        <w:rPr>
          <w:rFonts w:cs="Arial"/>
          <w:sz w:val="22"/>
          <w:lang w:val="ro-RO"/>
        </w:rPr>
        <w:tab/>
      </w:r>
      <w:r>
        <w:rPr>
          <w:rFonts w:cs="Arial"/>
          <w:sz w:val="22"/>
          <w:lang w:val="ro-RO"/>
        </w:rPr>
        <w:t>alte elemente relevante pentru evaluarea progresului.</w:t>
      </w:r>
    </w:p>
    <w:p w14:paraId="2A033292">
      <w:pPr>
        <w:tabs>
          <w:tab w:val="left" w:pos="720"/>
          <w:tab w:val="left" w:pos="1440"/>
          <w:tab w:val="left" w:pos="2160"/>
          <w:tab w:val="center" w:pos="5179"/>
          <w:tab w:val="left" w:pos="5610"/>
        </w:tabs>
        <w:rPr>
          <w:rFonts w:cs="Arial"/>
          <w:sz w:val="22"/>
          <w:lang w:val="ro-RO"/>
        </w:rPr>
      </w:pPr>
      <w:r>
        <w:rPr>
          <w:rFonts w:cs="Arial"/>
          <w:sz w:val="22"/>
          <w:lang w:val="ro-RO"/>
        </w:rPr>
        <w:t>Vor fi monitorizate constant activitățile desfășurate, rezultatele obținute și resursele utilizate în cadrul strategiei, pentru a asigura atingerea obiectivelor și adaptarea rapidă la eventualele provocări sau schimbări apărute pe parcursul implementării:</w:t>
      </w:r>
    </w:p>
    <w:bookmarkEnd w:id="113"/>
    <w:p w14:paraId="217AF9E6">
      <w:pPr>
        <w:tabs>
          <w:tab w:val="left" w:pos="720"/>
          <w:tab w:val="left" w:pos="1440"/>
          <w:tab w:val="left" w:pos="2160"/>
          <w:tab w:val="center" w:pos="5179"/>
          <w:tab w:val="left" w:pos="5610"/>
        </w:tabs>
        <w:rPr>
          <w:rFonts w:cs="Arial"/>
          <w:sz w:val="22"/>
          <w:lang w:val="ro-RO"/>
        </w:rPr>
      </w:pPr>
    </w:p>
    <w:p w14:paraId="347203AE">
      <w:pPr>
        <w:tabs>
          <w:tab w:val="left" w:pos="720"/>
          <w:tab w:val="left" w:pos="1440"/>
          <w:tab w:val="left" w:pos="2160"/>
          <w:tab w:val="center" w:pos="5179"/>
          <w:tab w:val="left" w:pos="5610"/>
        </w:tabs>
        <w:rPr>
          <w:rFonts w:cs="Arial"/>
          <w:sz w:val="22"/>
          <w:lang w:val="ro-RO"/>
        </w:rPr>
      </w:pPr>
      <w:r>
        <w:rPr>
          <w:rFonts w:cs="Arial"/>
          <w:sz w:val="22"/>
          <w:lang w:val="ro-RO"/>
        </w:rPr>
        <w:t>Consiliul Local va trebui să aibă în vedere Strategia Integrată de Dezvoltare Locală atunci când se aprobă diferite documentații de urbanism sau alte documente strategice, astfel încât să se asigure o corelare între acestea.</w:t>
      </w:r>
    </w:p>
    <w:p w14:paraId="7329B76A">
      <w:pPr>
        <w:pStyle w:val="4"/>
        <w:numPr>
          <w:ilvl w:val="2"/>
          <w:numId w:val="41"/>
        </w:numPr>
        <w:rPr>
          <w:rFonts w:cs="Arial"/>
          <w:sz w:val="22"/>
          <w:szCs w:val="22"/>
          <w:lang w:val="ro-RO"/>
        </w:rPr>
      </w:pPr>
      <w:bookmarkStart w:id="114" w:name="_Toc201926363"/>
      <w:r>
        <w:rPr>
          <w:rFonts w:cs="Arial"/>
          <w:sz w:val="22"/>
          <w:szCs w:val="22"/>
          <w:lang w:val="ro-RO"/>
        </w:rPr>
        <w:t>Evaluarea strategiei și analiza impactului</w:t>
      </w:r>
      <w:bookmarkEnd w:id="114"/>
    </w:p>
    <w:p w14:paraId="7E9DB9AD">
      <w:pPr>
        <w:pStyle w:val="4"/>
        <w:ind w:firstLine="0"/>
        <w:rPr>
          <w:rFonts w:cs="Arial" w:eastAsiaTheme="minorHAnsi"/>
          <w:color w:val="auto"/>
          <w:sz w:val="22"/>
          <w:szCs w:val="22"/>
          <w:lang w:val="ro-RO"/>
        </w:rPr>
      </w:pPr>
      <w:bookmarkStart w:id="115" w:name="_Toc201926364"/>
      <w:r>
        <w:rPr>
          <w:rFonts w:cs="Arial" w:eastAsiaTheme="minorHAnsi"/>
          <w:color w:val="auto"/>
          <w:sz w:val="22"/>
          <w:szCs w:val="22"/>
          <w:lang w:val="ro-RO"/>
        </w:rPr>
        <w:t>Evaluarea presupune analizarea activităților și a rezultatelor obținute în urma implementării Strategiei, utilizând datele colectate în etapa de monitorizare. Aceasta urmărește să determine modul în care Strategia a fost pusă în aplicare și gradul de eficiență al acesteia.</w:t>
      </w:r>
      <w:bookmarkEnd w:id="115"/>
    </w:p>
    <w:p w14:paraId="1BAE270A">
      <w:pPr>
        <w:ind w:firstLine="0"/>
        <w:rPr>
          <w:rFonts w:cs="Arial"/>
          <w:sz w:val="22"/>
          <w:lang w:val="ro-RO"/>
        </w:rPr>
      </w:pPr>
      <w:r>
        <w:rPr>
          <w:rFonts w:cs="Arial"/>
          <w:sz w:val="22"/>
          <w:lang w:val="ro-RO"/>
        </w:rPr>
        <w:t>Evaluarea va fi realizată de aceeași echipă responsabilă și de monitorizarea Strategiei, iar rezultatele acestei activități vor fi prezentate într-un raport de evaluare care va include situația indicatorilor specifici. Pe baza concluziilor rezultate din monitorizare și evaluare, se poate propune revizuirea Strategiei, astfel încât aceasta să reflecte noile priorități identificate.</w:t>
      </w:r>
    </w:p>
    <w:p w14:paraId="28317CB6">
      <w:pPr>
        <w:ind w:firstLine="0"/>
        <w:rPr>
          <w:rFonts w:cs="Arial"/>
          <w:sz w:val="22"/>
          <w:lang w:val="ro-RO"/>
        </w:rPr>
      </w:pPr>
      <w:r>
        <w:rPr>
          <w:rFonts w:cs="Arial"/>
          <w:sz w:val="22"/>
          <w:lang w:val="ro-RO"/>
        </w:rPr>
        <w:t>Procesul de evaluare va fi fundamentat pe criterii clar definite, asigurând astfel o analiză obiectivă și relevantă a progresului și eficienței strategiei.Abaterile constatate vor impune luarea unor măsuri de corecție agreate de comun acord prin contractele de finanțare semnate între părți.</w:t>
      </w:r>
    </w:p>
    <w:p w14:paraId="32F89DAA">
      <w:pPr>
        <w:ind w:firstLine="0"/>
        <w:rPr>
          <w:rFonts w:cs="Arial"/>
          <w:i/>
          <w:iCs/>
          <w:sz w:val="22"/>
          <w:lang w:val="ro-RO"/>
        </w:rPr>
      </w:pPr>
    </w:p>
    <w:p w14:paraId="67F0D79A">
      <w:pPr>
        <w:pStyle w:val="4"/>
        <w:numPr>
          <w:ilvl w:val="2"/>
          <w:numId w:val="41"/>
        </w:numPr>
        <w:rPr>
          <w:rFonts w:cs="Arial"/>
          <w:sz w:val="22"/>
          <w:szCs w:val="22"/>
          <w:lang w:val="ro-RO"/>
        </w:rPr>
      </w:pPr>
      <w:bookmarkStart w:id="116" w:name="_Toc201926365"/>
      <w:r>
        <w:rPr>
          <w:rFonts w:cs="Arial"/>
          <w:sz w:val="22"/>
          <w:szCs w:val="22"/>
          <w:lang w:val="ro-RO"/>
        </w:rPr>
        <w:t>Indicatori ai implementării strategiei</w:t>
      </w:r>
      <w:bookmarkEnd w:id="116"/>
      <w:r>
        <w:rPr>
          <w:rFonts w:cs="Arial"/>
          <w:sz w:val="22"/>
          <w:szCs w:val="22"/>
          <w:lang w:val="ro-RO"/>
        </w:rPr>
        <w:t xml:space="preserve">  </w:t>
      </w:r>
    </w:p>
    <w:p w14:paraId="2568285A">
      <w:pPr>
        <w:rPr>
          <w:rFonts w:cs="Arial"/>
          <w:sz w:val="22"/>
          <w:lang w:val="ro-RO"/>
        </w:rPr>
      </w:pPr>
    </w:p>
    <w:p w14:paraId="14D52BD7">
      <w:pPr>
        <w:tabs>
          <w:tab w:val="left" w:pos="1848"/>
        </w:tabs>
        <w:rPr>
          <w:rFonts w:cs="Arial"/>
          <w:sz w:val="22"/>
          <w:lang w:val="ro-RO"/>
        </w:rPr>
      </w:pPr>
      <w:r>
        <w:rPr>
          <w:rFonts w:cs="Arial"/>
          <w:sz w:val="22"/>
          <w:lang w:val="ro-RO"/>
        </w:rPr>
        <w:t xml:space="preserve">         Colectarea și prelucrarea informațiilor de încredere, cuantificate și actualizate regulat, agregate la nivelul indicatorilor de dezvoltare durabilă, va permite măsurarea performanțelor în atingerea obiectivelor stabilite prin prezenta strategie și raportarea corectă asupra rezultatelor.</w:t>
      </w:r>
    </w:p>
    <w:p w14:paraId="50FF9465">
      <w:pPr>
        <w:tabs>
          <w:tab w:val="left" w:pos="1848"/>
        </w:tabs>
        <w:rPr>
          <w:rFonts w:cs="Arial"/>
          <w:sz w:val="22"/>
          <w:lang w:val="ro-RO"/>
        </w:rPr>
      </w:pPr>
      <w:r>
        <w:rPr>
          <w:rFonts w:cs="Arial"/>
          <w:sz w:val="22"/>
          <w:lang w:val="ro-RO"/>
        </w:rPr>
        <w:t xml:space="preserve">Pentru realizarea evaluării corespunzătoare privind implementarea strategiei, se vor lua în considerare următorii indicatori de evaluare: </w:t>
      </w:r>
    </w:p>
    <w:p w14:paraId="77ECD6DB">
      <w:pPr>
        <w:tabs>
          <w:tab w:val="left" w:pos="1848"/>
        </w:tabs>
        <w:rPr>
          <w:rFonts w:cs="Arial"/>
          <w:sz w:val="22"/>
          <w:lang w:val="ro-RO"/>
        </w:rPr>
      </w:pPr>
    </w:p>
    <w:p w14:paraId="6A437AC5">
      <w:pPr>
        <w:pStyle w:val="52"/>
        <w:rPr>
          <w:rFonts w:ascii="Arial" w:hAnsi="Arial" w:cs="Arial"/>
          <w:szCs w:val="22"/>
          <w:lang w:val="ro-RO"/>
        </w:rPr>
      </w:pPr>
      <w:r>
        <w:rPr>
          <w:rFonts w:ascii="Arial" w:hAnsi="Arial" w:cs="Arial"/>
          <w:szCs w:val="22"/>
          <w:lang w:val="ro-RO"/>
        </w:rPr>
        <w:t>DIRECȚIA STRATEGICĂ 1 - Modernizarea și extinderea infrastructurii de bază</w:t>
      </w:r>
    </w:p>
    <w:p w14:paraId="39C9CB1B">
      <w:pPr>
        <w:tabs>
          <w:tab w:val="left" w:pos="1848"/>
        </w:tabs>
        <w:ind w:firstLine="0"/>
        <w:rPr>
          <w:rFonts w:cs="Arial"/>
          <w:sz w:val="22"/>
          <w:lang w:val="ro-RO"/>
        </w:rPr>
      </w:pPr>
      <w:r>
        <w:rPr>
          <w:rFonts w:cs="Arial"/>
          <w:b/>
          <w:bCs/>
          <w:color w:val="2E75B6" w:themeColor="accent5" w:themeShade="BF"/>
          <w:sz w:val="22"/>
          <w:lang w:val="ro-RO"/>
        </w:rPr>
        <w:t xml:space="preserve">Obiectivul strategic nr. 1:  </w:t>
      </w:r>
      <w:r>
        <w:rPr>
          <w:rFonts w:cs="Arial"/>
          <w:sz w:val="22"/>
          <w:lang w:val="ro-RO"/>
        </w:rPr>
        <w:t>Dezvoltarea și reabilitarea rețelelor de apă, canalizare, drumuri și iluminat public, precum și extinderea accesului la infrastructură digitală pentru toate satele componente.</w:t>
      </w:r>
    </w:p>
    <w:p w14:paraId="4D100CF6">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Lungimea drumurilor modernizate (km)</w:t>
      </w:r>
    </w:p>
    <w:p w14:paraId="7399E54B">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Procentul gospodăriilor racordate la rețeaua de apă potabilă (%)</w:t>
      </w:r>
    </w:p>
    <w:p w14:paraId="19BC15D7">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Procentul gospodăriilor racordate la rețeaua de canalizare (%)</w:t>
      </w:r>
    </w:p>
    <w:p w14:paraId="6391DE9F">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Numărul de puncte de iluminat public modernizate sau nou instalate</w:t>
      </w:r>
    </w:p>
    <w:p w14:paraId="6DFE99A9">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Pocentul gospodăriilor cu acces la internet de mare viteză (%)</w:t>
      </w:r>
    </w:p>
    <w:p w14:paraId="3572A43B">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Numărul de gospodării racordate la rețeaua de gaze naturale</w:t>
      </w:r>
    </w:p>
    <w:p w14:paraId="4D97986D">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Numărul de proiecte de infrastructură digitală implementate</w:t>
      </w:r>
    </w:p>
    <w:p w14:paraId="214E9D93">
      <w:pPr>
        <w:pStyle w:val="37"/>
        <w:numPr>
          <w:ilvl w:val="0"/>
          <w:numId w:val="42"/>
        </w:numPr>
        <w:tabs>
          <w:tab w:val="left" w:pos="1848"/>
        </w:tabs>
        <w:rPr>
          <w:rFonts w:cs="Arial"/>
          <w:color w:val="2E75B6" w:themeColor="accent5" w:themeShade="BF"/>
          <w:sz w:val="22"/>
          <w:lang w:val="ro-RO"/>
        </w:rPr>
      </w:pPr>
      <w:r>
        <w:rPr>
          <w:rFonts w:cs="Arial"/>
          <w:color w:val="2E75B6" w:themeColor="accent5" w:themeShade="BF"/>
          <w:sz w:val="22"/>
          <w:lang w:val="ro-RO"/>
        </w:rPr>
        <w:t>Procentul investițiilor realizate din fonduri nerambursabile (UE, guvernamentale) din totalul investițiilor publice</w:t>
      </w:r>
    </w:p>
    <w:p w14:paraId="75C1D59A">
      <w:pPr>
        <w:tabs>
          <w:tab w:val="left" w:pos="1848"/>
        </w:tabs>
        <w:rPr>
          <w:rFonts w:cs="Arial"/>
          <w:sz w:val="22"/>
          <w:lang w:val="ro-RO"/>
        </w:rPr>
      </w:pPr>
    </w:p>
    <w:p w14:paraId="76DF8C2B">
      <w:pPr>
        <w:tabs>
          <w:tab w:val="left" w:pos="1848"/>
        </w:tabs>
        <w:ind w:firstLine="0"/>
        <w:rPr>
          <w:rFonts w:cs="Arial"/>
          <w:sz w:val="22"/>
          <w:lang w:val="ro-RO"/>
        </w:rPr>
      </w:pPr>
      <w:bookmarkStart w:id="117" w:name="OLE_LINK30"/>
      <w:r>
        <w:rPr>
          <w:rFonts w:cs="Arial"/>
          <w:sz w:val="22"/>
          <w:lang w:val="ro-RO"/>
        </w:rPr>
        <w:t>DIRECȚIA STRATEGICĂ 2 - Dezvoltarea economică locală și diversificarea surselor de venit</w:t>
      </w:r>
    </w:p>
    <w:p w14:paraId="79113731">
      <w:pPr>
        <w:tabs>
          <w:tab w:val="left" w:pos="1848"/>
        </w:tabs>
        <w:ind w:firstLine="0"/>
        <w:rPr>
          <w:rFonts w:cs="Arial"/>
          <w:sz w:val="22"/>
          <w:lang w:val="ro-RO"/>
        </w:rPr>
      </w:pPr>
      <w:r>
        <w:rPr>
          <w:rFonts w:cs="Arial"/>
          <w:b/>
          <w:bCs/>
          <w:color w:val="2E75B6" w:themeColor="accent5" w:themeShade="BF"/>
          <w:sz w:val="22"/>
          <w:lang w:val="ro-RO"/>
        </w:rPr>
        <w:t xml:space="preserve">Obiectivul strategic nr. 2 - </w:t>
      </w:r>
      <w:r>
        <w:rPr>
          <w:rFonts w:cs="Arial"/>
          <w:sz w:val="22"/>
          <w:lang w:val="ro-RO"/>
        </w:rPr>
        <w:t xml:space="preserve">Sprijinirea antreprenoriatului, a inițiativelor private și a cooperativelor agricole, promovarea turismului sustenabil și valorificarea resurselor naturale și culturale pentru crearea de noi locuri de muncă </w:t>
      </w:r>
    </w:p>
    <w:p w14:paraId="1D061C8D">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Numărul de noi întreprinderi (IMM-uri, PFA, SRL) înființate anual în comună</w:t>
      </w:r>
    </w:p>
    <w:p w14:paraId="42EAD9CB">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Numărul de cooperative agricole sau asociații de producători funcționale</w:t>
      </w:r>
    </w:p>
    <w:p w14:paraId="57A50F72">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Numărul de locuri de muncă nou create în sectorul privat</w:t>
      </w:r>
    </w:p>
    <w:p w14:paraId="2E421426">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Valoarea investițiilor private atrase în comună (euro/an)</w:t>
      </w:r>
    </w:p>
    <w:p w14:paraId="27A5A254">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Numărul de proiecte de procesare/produs agroalimentar local implementate</w:t>
      </w:r>
    </w:p>
    <w:p w14:paraId="00EEFEA0">
      <w:pPr>
        <w:pStyle w:val="37"/>
        <w:numPr>
          <w:ilvl w:val="0"/>
          <w:numId w:val="43"/>
        </w:numPr>
        <w:tabs>
          <w:tab w:val="left" w:pos="1848"/>
        </w:tabs>
        <w:rPr>
          <w:rFonts w:cs="Arial"/>
          <w:color w:val="2E75B6" w:themeColor="accent5" w:themeShade="BF"/>
          <w:sz w:val="22"/>
          <w:lang w:val="ro-RO"/>
        </w:rPr>
      </w:pPr>
      <w:r>
        <w:rPr>
          <w:rFonts w:cs="Arial"/>
          <w:color w:val="2E75B6" w:themeColor="accent5" w:themeShade="BF"/>
          <w:sz w:val="22"/>
          <w:lang w:val="ro-RO"/>
        </w:rPr>
        <w:t>Numărul de evenimente, târguri sau piețe locale pentru promovarea produselor și serviciilor locale</w:t>
      </w:r>
    </w:p>
    <w:p w14:paraId="15ACAB03">
      <w:pPr>
        <w:pStyle w:val="37"/>
        <w:numPr>
          <w:ilvl w:val="0"/>
          <w:numId w:val="43"/>
        </w:numPr>
        <w:tabs>
          <w:tab w:val="left" w:pos="1848"/>
        </w:tabs>
        <w:ind w:hanging="330"/>
        <w:rPr>
          <w:rFonts w:cs="Arial"/>
          <w:color w:val="2E75B6" w:themeColor="accent5" w:themeShade="BF"/>
          <w:sz w:val="22"/>
          <w:lang w:val="ro-RO"/>
        </w:rPr>
      </w:pPr>
      <w:r>
        <w:rPr>
          <w:rFonts w:cs="Arial"/>
          <w:color w:val="2E75B6" w:themeColor="accent5" w:themeShade="BF"/>
          <w:sz w:val="22"/>
          <w:lang w:val="ro-RO"/>
        </w:rPr>
        <w:t>Numărul de unități de cazare și servicii turistice nou deschise sau modernizate</w:t>
      </w:r>
    </w:p>
    <w:p w14:paraId="796C7A2B">
      <w:pPr>
        <w:pStyle w:val="37"/>
        <w:numPr>
          <w:ilvl w:val="0"/>
          <w:numId w:val="43"/>
        </w:numPr>
        <w:tabs>
          <w:tab w:val="left" w:pos="1848"/>
        </w:tabs>
        <w:ind w:hanging="330"/>
        <w:rPr>
          <w:rFonts w:cs="Arial"/>
          <w:color w:val="2E75B6" w:themeColor="accent5" w:themeShade="BF"/>
          <w:sz w:val="22"/>
          <w:lang w:val="ro-RO"/>
        </w:rPr>
      </w:pPr>
      <w:r>
        <w:rPr>
          <w:rFonts w:cs="Arial"/>
          <w:color w:val="2E75B6" w:themeColor="accent5" w:themeShade="BF"/>
          <w:sz w:val="22"/>
          <w:lang w:val="ro-RO"/>
        </w:rPr>
        <w:t>Numărul de turiști (vizitatori) înregistrați anual în comună</w:t>
      </w:r>
    </w:p>
    <w:p w14:paraId="44ED16A9">
      <w:pPr>
        <w:pStyle w:val="37"/>
        <w:numPr>
          <w:ilvl w:val="0"/>
          <w:numId w:val="43"/>
        </w:numPr>
        <w:tabs>
          <w:tab w:val="left" w:pos="1848"/>
        </w:tabs>
        <w:ind w:hanging="330"/>
        <w:rPr>
          <w:rFonts w:cs="Arial"/>
          <w:color w:val="2E75B6" w:themeColor="accent5" w:themeShade="BF"/>
          <w:sz w:val="22"/>
          <w:lang w:val="ro-RO"/>
        </w:rPr>
      </w:pPr>
      <w:r>
        <w:rPr>
          <w:rFonts w:cs="Arial"/>
          <w:color w:val="2E75B6" w:themeColor="accent5" w:themeShade="BF"/>
          <w:sz w:val="22"/>
          <w:lang w:val="ro-RO"/>
        </w:rPr>
        <w:t>Ponderea veniturilor obținute din activități non-agricole în totalul veniturilor gospodăriilor (%)</w:t>
      </w:r>
    </w:p>
    <w:p w14:paraId="0952E228">
      <w:pPr>
        <w:pStyle w:val="37"/>
        <w:numPr>
          <w:ilvl w:val="0"/>
          <w:numId w:val="43"/>
        </w:numPr>
        <w:tabs>
          <w:tab w:val="left" w:pos="1848"/>
        </w:tabs>
        <w:ind w:hanging="330"/>
        <w:rPr>
          <w:rFonts w:cs="Arial"/>
          <w:color w:val="2E75B6" w:themeColor="accent5" w:themeShade="BF"/>
          <w:sz w:val="22"/>
          <w:lang w:val="ro-RO"/>
        </w:rPr>
      </w:pPr>
      <w:r>
        <w:rPr>
          <w:rFonts w:cs="Arial"/>
          <w:color w:val="2E75B6" w:themeColor="accent5" w:themeShade="BF"/>
          <w:sz w:val="22"/>
          <w:lang w:val="ro-RO"/>
        </w:rPr>
        <w:t>Numărul de persoane participante la cursuri de formare/consiliere antreprenorială sau turistică</w:t>
      </w:r>
    </w:p>
    <w:bookmarkEnd w:id="117"/>
    <w:p w14:paraId="48551F2D">
      <w:pPr>
        <w:tabs>
          <w:tab w:val="left" w:pos="1848"/>
        </w:tabs>
        <w:ind w:firstLine="0"/>
        <w:rPr>
          <w:rFonts w:cs="Arial"/>
          <w:sz w:val="22"/>
          <w:lang w:val="ro-RO"/>
        </w:rPr>
      </w:pPr>
    </w:p>
    <w:p w14:paraId="7979659D">
      <w:pPr>
        <w:pStyle w:val="52"/>
        <w:rPr>
          <w:rFonts w:ascii="Arial" w:hAnsi="Arial" w:cs="Arial"/>
          <w:szCs w:val="22"/>
          <w:lang w:val="ro-RO"/>
        </w:rPr>
      </w:pPr>
      <w:bookmarkStart w:id="118" w:name="OLE_LINK31"/>
      <w:r>
        <w:rPr>
          <w:rFonts w:ascii="Arial" w:hAnsi="Arial" w:cs="Arial"/>
          <w:szCs w:val="22"/>
          <w:lang w:val="ro-RO"/>
        </w:rPr>
        <w:t>DIRECȚIA STRATEGICĂ 3 - Protecția mediului și tranziția către o economie verde</w:t>
      </w:r>
    </w:p>
    <w:p w14:paraId="413C2F2C">
      <w:pPr>
        <w:tabs>
          <w:tab w:val="left" w:pos="1848"/>
        </w:tabs>
        <w:ind w:firstLine="0"/>
        <w:rPr>
          <w:rFonts w:cs="Arial"/>
          <w:sz w:val="22"/>
          <w:lang w:val="ro-RO"/>
        </w:rPr>
      </w:pPr>
      <w:r>
        <w:rPr>
          <w:rFonts w:cs="Arial"/>
          <w:b/>
          <w:bCs/>
          <w:color w:val="2E75B6" w:themeColor="accent5" w:themeShade="BF"/>
          <w:sz w:val="22"/>
          <w:lang w:val="ro-RO"/>
        </w:rPr>
        <w:t xml:space="preserve">Obiectivul strategic nr. 3 – </w:t>
      </w:r>
      <w:r>
        <w:rPr>
          <w:rFonts w:cs="Arial"/>
          <w:sz w:val="22"/>
          <w:lang w:val="ro-RO"/>
        </w:rPr>
        <w:t xml:space="preserve">Implementarea de proiecte pentru gestionarea eficientă a deșeurilor, protejarea biodiversității, utilizarea energiilor regenerabile și adaptarea la schimbările climatice </w:t>
      </w:r>
    </w:p>
    <w:p w14:paraId="221F0E85">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Procentul populației deservite de servicii de colectare selectivă a deșeurilor (%)</w:t>
      </w:r>
    </w:p>
    <w:p w14:paraId="7B276FF0">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Cantitatea de deșeuri reciclate din totalul deșeurilor colectate (tone/an, %)</w:t>
      </w:r>
    </w:p>
    <w:p w14:paraId="5CD27A08">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Numărul de proiecte de împădurire și suprafața reîmpădurită (ha/an)</w:t>
      </w:r>
    </w:p>
    <w:p w14:paraId="4FCCFDA7">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Suprafața zonelor protejate și a coridoarelor ecologice nou create sau extinse (ha)</w:t>
      </w:r>
    </w:p>
    <w:p w14:paraId="5B8D52FD">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Numărul de gospodării și clădiri publice dotate cu sisteme de energie regenerabilă (panouri fotovoltaice, pompe de căldură etc.)</w:t>
      </w:r>
    </w:p>
    <w:p w14:paraId="6CDA9B99">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Reducerea consumului de lemne pentru încălzire (%)</w:t>
      </w:r>
    </w:p>
    <w:p w14:paraId="4BB570FF">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Numărul de acțiuni de informare și educație ecologică desfășurate anual</w:t>
      </w:r>
    </w:p>
    <w:p w14:paraId="055943B2">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Numărul de sisteme de monitorizare a calității aerului, apei și solului instalate și funcționale</w:t>
      </w:r>
    </w:p>
    <w:p w14:paraId="676ECEC6">
      <w:pPr>
        <w:pStyle w:val="37"/>
        <w:numPr>
          <w:ilvl w:val="0"/>
          <w:numId w:val="44"/>
        </w:numPr>
        <w:tabs>
          <w:tab w:val="left" w:pos="1530"/>
        </w:tabs>
        <w:ind w:firstLine="90"/>
        <w:rPr>
          <w:rFonts w:cs="Arial"/>
          <w:color w:val="2E75B6" w:themeColor="accent5" w:themeShade="BF"/>
          <w:sz w:val="22"/>
          <w:lang w:val="ro-RO"/>
        </w:rPr>
      </w:pPr>
      <w:r>
        <w:rPr>
          <w:rFonts w:cs="Arial"/>
          <w:color w:val="2E75B6" w:themeColor="accent5" w:themeShade="BF"/>
          <w:sz w:val="22"/>
          <w:lang w:val="ro-RO"/>
        </w:rPr>
        <w:t>Numărul de proiecte de infrastructură verde (parcuri, spații verzi, perdele forestiere) implementate</w:t>
      </w:r>
    </w:p>
    <w:bookmarkEnd w:id="118"/>
    <w:p w14:paraId="3EE79894">
      <w:pPr>
        <w:tabs>
          <w:tab w:val="left" w:pos="1848"/>
        </w:tabs>
        <w:ind w:firstLine="0"/>
        <w:rPr>
          <w:rFonts w:cs="Arial"/>
          <w:sz w:val="22"/>
          <w:lang w:val="ro-RO"/>
        </w:rPr>
      </w:pPr>
    </w:p>
    <w:p w14:paraId="5938F7D9">
      <w:pPr>
        <w:pStyle w:val="52"/>
        <w:rPr>
          <w:rFonts w:ascii="Arial" w:hAnsi="Arial" w:cs="Arial"/>
          <w:szCs w:val="22"/>
          <w:lang w:val="ro-RO"/>
        </w:rPr>
      </w:pPr>
      <w:bookmarkStart w:id="119" w:name="OLE_LINK32"/>
      <w:r>
        <w:rPr>
          <w:rFonts w:ascii="Arial" w:hAnsi="Arial" w:cs="Arial"/>
          <w:szCs w:val="22"/>
          <w:lang w:val="ro-RO"/>
        </w:rPr>
        <w:t>DIRECȚIA STRATEGICĂ 4 - Creșterea calității vieții și incluziunii sociale</w:t>
      </w:r>
    </w:p>
    <w:p w14:paraId="798931CB">
      <w:pPr>
        <w:tabs>
          <w:tab w:val="left" w:pos="1848"/>
        </w:tabs>
        <w:ind w:firstLine="0"/>
        <w:rPr>
          <w:rFonts w:cs="Arial"/>
          <w:sz w:val="22"/>
          <w:lang w:val="ro-RO"/>
        </w:rPr>
      </w:pPr>
      <w:r>
        <w:rPr>
          <w:rFonts w:cs="Arial"/>
          <w:b/>
          <w:bCs/>
          <w:color w:val="2E75B6" w:themeColor="accent5" w:themeShade="BF"/>
          <w:sz w:val="22"/>
          <w:lang w:val="ro-RO"/>
        </w:rPr>
        <w:t xml:space="preserve">Obiectivul strategic nr. 4 - </w:t>
      </w:r>
      <w:r>
        <w:rPr>
          <w:rFonts w:cs="Arial"/>
          <w:sz w:val="22"/>
          <w:lang w:val="ro-RO"/>
        </w:rPr>
        <w:t>Îmbunătățirea accesului la servicii publice de calitate (educație, sănătate, cultură, sport), reducerea disparităților sociale și sprijinirea grupurilor vulnerabile</w:t>
      </w:r>
    </w:p>
    <w:bookmarkEnd w:id="119"/>
    <w:p w14:paraId="720CC26F">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Numărul de beneficiari ai serviciilor sociale și de sprijin pentru grupuri vulnerabile</w:t>
      </w:r>
    </w:p>
    <w:p w14:paraId="099CAF29">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Procentul copiilor cuprinsi în învățământul preșcolar și școlar</w:t>
      </w:r>
    </w:p>
    <w:p w14:paraId="160C6060">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Numărul de persoane care au accesat servicii medicale de bază sau preventive prin centre medicale locale sau mobile</w:t>
      </w:r>
    </w:p>
    <w:p w14:paraId="47D55F9F">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Numărul de evenimente culturale, educaționale și sportive organizate anual</w:t>
      </w:r>
    </w:p>
    <w:p w14:paraId="523C1666">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Procentul gospodăriilor racordate la servicii publice esențiale (apă, canalizare, electricitate, internet)</w:t>
      </w:r>
    </w:p>
    <w:p w14:paraId="6C21E4B8">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Rata abandonului școlar la nivelul comunei (%)</w:t>
      </w:r>
    </w:p>
    <w:p w14:paraId="6FFC0154">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Numărul de proiecte/inițiative pentru modernizarea și dotarea infrastructurii educaționale, culturale și sportive</w:t>
      </w:r>
    </w:p>
    <w:p w14:paraId="1B18D946">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Gradul de satisfacție al cetățenilor față de serviciile publice locale (%)</w:t>
      </w:r>
    </w:p>
    <w:p w14:paraId="0FD30650">
      <w:pPr>
        <w:pStyle w:val="37"/>
        <w:numPr>
          <w:ilvl w:val="0"/>
          <w:numId w:val="45"/>
        </w:numPr>
        <w:tabs>
          <w:tab w:val="left" w:pos="1530"/>
        </w:tabs>
        <w:rPr>
          <w:rFonts w:cs="Arial"/>
          <w:color w:val="2E75B6" w:themeColor="accent5" w:themeShade="BF"/>
          <w:sz w:val="22"/>
          <w:lang w:val="ro-RO"/>
        </w:rPr>
      </w:pPr>
      <w:r>
        <w:rPr>
          <w:rFonts w:cs="Arial"/>
          <w:color w:val="2E75B6" w:themeColor="accent5" w:themeShade="BF"/>
          <w:sz w:val="22"/>
          <w:lang w:val="ro-RO"/>
        </w:rPr>
        <w:t>Numărul de parteneriate și proiecte cu ONG-uri, instituții și mediul privat pentru incluziune socială și dezvoltare comunitară</w:t>
      </w:r>
    </w:p>
    <w:p w14:paraId="6201A87F">
      <w:pPr>
        <w:pStyle w:val="37"/>
        <w:tabs>
          <w:tab w:val="left" w:pos="1530"/>
        </w:tabs>
        <w:ind w:left="1530" w:firstLine="0"/>
        <w:rPr>
          <w:rFonts w:cs="Arial"/>
          <w:color w:val="2E75B6" w:themeColor="accent5" w:themeShade="BF"/>
          <w:sz w:val="22"/>
          <w:lang w:val="ro-RO"/>
        </w:rPr>
      </w:pPr>
    </w:p>
    <w:p w14:paraId="04655CF1">
      <w:pPr>
        <w:pStyle w:val="52"/>
        <w:rPr>
          <w:rFonts w:ascii="Arial" w:hAnsi="Arial" w:cs="Arial"/>
          <w:szCs w:val="22"/>
          <w:lang w:val="ro-RO"/>
        </w:rPr>
      </w:pPr>
      <w:bookmarkStart w:id="120" w:name="OLE_LINK33"/>
      <w:r>
        <w:rPr>
          <w:rFonts w:ascii="Arial" w:hAnsi="Arial" w:cs="Arial"/>
          <w:szCs w:val="22"/>
          <w:lang w:val="ro-RO"/>
        </w:rPr>
        <w:t xml:space="preserve">DIRECȚIA STRATEGICĂ 5 - Guvernanță locală participativă și digitalizare </w:t>
      </w:r>
    </w:p>
    <w:p w14:paraId="3FAB311D">
      <w:pPr>
        <w:tabs>
          <w:tab w:val="left" w:pos="1848"/>
        </w:tabs>
        <w:ind w:firstLine="0"/>
        <w:rPr>
          <w:rFonts w:cs="Arial"/>
          <w:sz w:val="22"/>
          <w:lang w:val="ro-RO"/>
        </w:rPr>
      </w:pPr>
      <w:r>
        <w:rPr>
          <w:rFonts w:cs="Arial"/>
          <w:b/>
          <w:bCs/>
          <w:color w:val="2E75B6" w:themeColor="accent5" w:themeShade="BF"/>
          <w:sz w:val="22"/>
          <w:lang w:val="ro-RO"/>
        </w:rPr>
        <w:t xml:space="preserve">Obiectivul strategic nr. 5 - </w:t>
      </w:r>
      <w:r>
        <w:rPr>
          <w:rFonts w:cs="Arial"/>
          <w:sz w:val="22"/>
          <w:lang w:val="ro-RO"/>
        </w:rPr>
        <w:t xml:space="preserve">Consolidarea transparenței, a implicării cetățenilor în procesul decizional, digitalizarea serviciilor publice și dezvoltarea parteneriatelor cu mediul privat, societatea civilă și instituțiile regionale </w:t>
      </w:r>
    </w:p>
    <w:bookmarkEnd w:id="120"/>
    <w:p w14:paraId="09DEA2F9">
      <w:pPr>
        <w:tabs>
          <w:tab w:val="left" w:pos="1848"/>
        </w:tabs>
        <w:rPr>
          <w:rFonts w:cs="Arial"/>
          <w:sz w:val="22"/>
          <w:lang w:val="ro-RO"/>
        </w:rPr>
      </w:pPr>
    </w:p>
    <w:p w14:paraId="0979B2BE">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Numărul de servicii publice digitalizate disponibile online</w:t>
      </w:r>
    </w:p>
    <w:p w14:paraId="1511330E">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Numărul de consultări publice și dezbateri organizate anual cu participarea cetățenilor</w:t>
      </w:r>
    </w:p>
    <w:p w14:paraId="23679D3E">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Gradul de transparență a administrației locale (ex. publicarea online a hotărârilor, bugetelor, achizițiilor)</w:t>
      </w:r>
    </w:p>
    <w:p w14:paraId="2B0F606C">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Timpul mediu de soluționare a cererilor depuse online (zile)</w:t>
      </w:r>
    </w:p>
    <w:p w14:paraId="57068FBC">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Numărul de instruiri sau ateliere pentru funcționari privind utilizarea instrumentelor digitale și bune practici de guvernanță</w:t>
      </w:r>
    </w:p>
    <w:p w14:paraId="20836751">
      <w:pPr>
        <w:pStyle w:val="37"/>
        <w:numPr>
          <w:ilvl w:val="0"/>
          <w:numId w:val="46"/>
        </w:numPr>
        <w:tabs>
          <w:tab w:val="left" w:pos="1530"/>
        </w:tabs>
        <w:rPr>
          <w:rFonts w:cs="Arial"/>
          <w:color w:val="2E75B6" w:themeColor="accent5" w:themeShade="BF"/>
          <w:sz w:val="22"/>
          <w:lang w:val="ro-RO"/>
        </w:rPr>
      </w:pPr>
      <w:r>
        <w:rPr>
          <w:rFonts w:cs="Arial"/>
          <w:color w:val="2E75B6" w:themeColor="accent5" w:themeShade="BF"/>
          <w:sz w:val="22"/>
          <w:lang w:val="ro-RO"/>
        </w:rPr>
        <w:t>Numărul de proiecte de digitalizare și inovare administrativă implementate anual</w:t>
      </w:r>
    </w:p>
    <w:p w14:paraId="767D091E">
      <w:pPr>
        <w:pStyle w:val="37"/>
        <w:tabs>
          <w:tab w:val="left" w:pos="1530"/>
        </w:tabs>
        <w:ind w:left="1890" w:firstLine="0"/>
        <w:rPr>
          <w:rFonts w:cs="Arial"/>
          <w:color w:val="2E75B6" w:themeColor="accent5" w:themeShade="BF"/>
          <w:sz w:val="22"/>
          <w:lang w:val="ro-RO"/>
        </w:rPr>
      </w:pPr>
    </w:p>
    <w:sectPr>
      <w:headerReference r:id="rId6" w:type="default"/>
      <w:footerReference r:id="rId7" w:type="default"/>
      <w:pgSz w:w="11907" w:h="16839"/>
      <w:pgMar w:top="1701" w:right="1134" w:bottom="1701"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Helvetica">
    <w:altName w:val="Arial"/>
    <w:panose1 w:val="00000000000000000000"/>
    <w:charset w:val="00"/>
    <w:family w:val="auto"/>
    <w:pitch w:val="default"/>
    <w:sig w:usb0="00000000" w:usb1="00000000" w:usb2="00000000" w:usb3="00000000" w:csb0="0000019F" w:csb1="00000000"/>
  </w:font>
  <w:font w:name="Symbol">
    <w:panose1 w:val="05050102010706020507"/>
    <w:charset w:val="02"/>
    <w:family w:val="decorative"/>
    <w:pitch w:val="default"/>
    <w:sig w:usb0="00000000" w:usb1="00000000" w:usb2="00000000" w:usb3="00000000" w:csb0="80000000" w:csb1="00000000"/>
  </w:font>
  <w:font w:name="Wingdings">
    <w:panose1 w:val="05000000000000000000"/>
    <w:charset w:val="4D"/>
    <w:family w:val="decorative"/>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Calibri">
    <w:panose1 w:val="020F0502020204030204"/>
    <w:charset w:val="01"/>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Noto Sans Symbols">
    <w:altName w:val="Calibri"/>
    <w:panose1 w:val="020B0604020202020204"/>
    <w:charset w:val="00"/>
    <w:family w:val="auto"/>
    <w:pitch w:val="default"/>
    <w:sig w:usb0="00000000" w:usb1="00000000" w:usb2="00000000" w:usb3="00000000" w:csb0="00000000" w:csb1="00000000"/>
  </w:font>
  <w:font w:name="Helvetica-BoldOblique">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E354">
    <w:pPr>
      <w:pStyle w:val="19"/>
      <w:jc w:val="right"/>
    </w:pPr>
    <w:sdt>
      <w:sdtPr>
        <w:id w:val="1452903484"/>
        <w:docPartObj>
          <w:docPartGallery w:val="AutoText"/>
        </w:docPartObj>
      </w:sdtPr>
      <w:sdtContent>
        <w:r>
          <w:fldChar w:fldCharType="begin"/>
        </w:r>
        <w:r>
          <w:instrText xml:space="preserve"> PAGE   \* MERGEFORMAT </w:instrText>
        </w:r>
        <w:r>
          <w:fldChar w:fldCharType="separate"/>
        </w:r>
        <w:r>
          <w:t>2</w:t>
        </w:r>
        <w:r>
          <w:fldChar w:fldCharType="end"/>
        </w:r>
      </w:sdtContent>
    </w:sdt>
  </w:p>
  <w:p w14:paraId="707323B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5672226"/>
      <w:docPartObj>
        <w:docPartGallery w:val="AutoText"/>
      </w:docPartObj>
    </w:sdtPr>
    <w:sdtContent>
      <w:p w14:paraId="1D6578CC">
        <w:pPr>
          <w:pStyle w:val="19"/>
          <w:jc w:val="right"/>
        </w:pPr>
        <w:r>
          <w:fldChar w:fldCharType="begin"/>
        </w:r>
        <w:r>
          <w:instrText xml:space="preserve"> PAGE   \* MERGEFORMAT </w:instrText>
        </w:r>
        <w:r>
          <w:fldChar w:fldCharType="separate"/>
        </w:r>
        <w:r>
          <w:t>2</w:t>
        </w:r>
        <w:r>
          <w:fldChar w:fldCharType="end"/>
        </w:r>
      </w:p>
    </w:sdtContent>
  </w:sdt>
  <w:p w14:paraId="51700B2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360" w:lineRule="auto"/>
      </w:pPr>
      <w:r>
        <w:separator/>
      </w:r>
    </w:p>
  </w:footnote>
  <w:footnote w:type="continuationSeparator" w:id="5">
    <w:p>
      <w:pPr>
        <w:spacing w:before="0" w:after="0" w:line="360" w:lineRule="auto"/>
      </w:pPr>
      <w:r>
        <w:continuationSeparator/>
      </w:r>
    </w:p>
  </w:footnote>
  <w:footnote w:id="0">
    <w:p w14:paraId="1D9A02B1">
      <w:pPr>
        <w:pStyle w:val="22"/>
        <w:rPr>
          <w:lang w:val="ro-RO"/>
        </w:rPr>
      </w:pPr>
      <w:r>
        <w:rPr>
          <w:rStyle w:val="20"/>
        </w:rPr>
        <w:footnoteRef/>
      </w:r>
      <w:r>
        <w:t xml:space="preserve"> </w:t>
      </w:r>
      <w:r>
        <w:rPr>
          <w:lang w:val="ro-RO"/>
        </w:rPr>
        <w:t>Ibidem, pag.9</w:t>
      </w:r>
    </w:p>
  </w:footnote>
  <w:footnote w:id="1">
    <w:p w14:paraId="38660D8D">
      <w:pPr>
        <w:pStyle w:val="22"/>
        <w:rPr>
          <w:lang w:val="ro-RO"/>
        </w:rPr>
      </w:pPr>
      <w:r>
        <w:rPr>
          <w:rStyle w:val="20"/>
        </w:rPr>
        <w:footnoteRef/>
      </w:r>
      <w:r>
        <w:t xml:space="preserve"> </w:t>
      </w:r>
      <w:r>
        <w:rPr>
          <w:lang w:val="ro-RO"/>
        </w:rPr>
        <w:t>Ibidem, pag.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1BA5">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8399C"/>
    <w:multiLevelType w:val="multilevel"/>
    <w:tmpl w:val="050839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70D2084"/>
    <w:multiLevelType w:val="multilevel"/>
    <w:tmpl w:val="070D208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09802A72"/>
    <w:multiLevelType w:val="multilevel"/>
    <w:tmpl w:val="09802A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B8C3509"/>
    <w:multiLevelType w:val="multilevel"/>
    <w:tmpl w:val="0B8C3509"/>
    <w:lvl w:ilvl="0" w:tentative="0">
      <w:start w:val="0"/>
      <w:numFmt w:val="bullet"/>
      <w:lvlText w:val="-"/>
      <w:lvlJc w:val="left"/>
      <w:pPr>
        <w:tabs>
          <w:tab w:val="left" w:pos="795"/>
        </w:tabs>
        <w:ind w:left="795" w:hanging="360"/>
      </w:pPr>
      <w:rPr>
        <w:rFonts w:hint="default" w:ascii="Times New Roman" w:hAnsi="Times New Roman" w:eastAsia="Times New Roman" w:cs="Times New Roman"/>
      </w:rPr>
    </w:lvl>
    <w:lvl w:ilvl="1" w:tentative="0">
      <w:start w:val="0"/>
      <w:numFmt w:val="bullet"/>
      <w:lvlText w:val="–"/>
      <w:lvlJc w:val="left"/>
      <w:pPr>
        <w:tabs>
          <w:tab w:val="left" w:pos="1515"/>
        </w:tabs>
        <w:ind w:left="1515" w:hanging="360"/>
      </w:pPr>
      <w:rPr>
        <w:rFonts w:hint="default" w:ascii="Times New Roman" w:hAnsi="Times New Roman" w:eastAsia="Times New Roman" w:cs="Times New Roman"/>
      </w:rPr>
    </w:lvl>
    <w:lvl w:ilvl="2" w:tentative="0">
      <w:start w:val="1"/>
      <w:numFmt w:val="bullet"/>
      <w:lvlText w:val=""/>
      <w:lvlJc w:val="left"/>
      <w:pPr>
        <w:tabs>
          <w:tab w:val="left" w:pos="2235"/>
        </w:tabs>
        <w:ind w:left="2235" w:hanging="360"/>
      </w:pPr>
      <w:rPr>
        <w:rFonts w:hint="default" w:ascii="Wingdings" w:hAnsi="Wingdings"/>
      </w:rPr>
    </w:lvl>
    <w:lvl w:ilvl="3" w:tentative="0">
      <w:start w:val="1"/>
      <w:numFmt w:val="bullet"/>
      <w:lvlText w:val=""/>
      <w:lvlJc w:val="left"/>
      <w:pPr>
        <w:tabs>
          <w:tab w:val="left" w:pos="2955"/>
        </w:tabs>
        <w:ind w:left="2955" w:hanging="360"/>
      </w:pPr>
      <w:rPr>
        <w:rFonts w:hint="default" w:ascii="Symbol" w:hAnsi="Symbol"/>
      </w:rPr>
    </w:lvl>
    <w:lvl w:ilvl="4" w:tentative="0">
      <w:start w:val="1"/>
      <w:numFmt w:val="bullet"/>
      <w:lvlText w:val="o"/>
      <w:lvlJc w:val="left"/>
      <w:pPr>
        <w:tabs>
          <w:tab w:val="left" w:pos="3675"/>
        </w:tabs>
        <w:ind w:left="3675" w:hanging="360"/>
      </w:pPr>
      <w:rPr>
        <w:rFonts w:hint="default" w:ascii="Courier New" w:hAnsi="Courier New"/>
      </w:rPr>
    </w:lvl>
    <w:lvl w:ilvl="5" w:tentative="0">
      <w:start w:val="1"/>
      <w:numFmt w:val="bullet"/>
      <w:lvlText w:val=""/>
      <w:lvlJc w:val="left"/>
      <w:pPr>
        <w:tabs>
          <w:tab w:val="left" w:pos="4395"/>
        </w:tabs>
        <w:ind w:left="4395" w:hanging="360"/>
      </w:pPr>
      <w:rPr>
        <w:rFonts w:hint="default" w:ascii="Wingdings" w:hAnsi="Wingdings"/>
      </w:rPr>
    </w:lvl>
    <w:lvl w:ilvl="6" w:tentative="0">
      <w:start w:val="1"/>
      <w:numFmt w:val="bullet"/>
      <w:lvlText w:val=""/>
      <w:lvlJc w:val="left"/>
      <w:pPr>
        <w:tabs>
          <w:tab w:val="left" w:pos="5115"/>
        </w:tabs>
        <w:ind w:left="5115" w:hanging="360"/>
      </w:pPr>
      <w:rPr>
        <w:rFonts w:hint="default" w:ascii="Symbol" w:hAnsi="Symbol"/>
      </w:rPr>
    </w:lvl>
    <w:lvl w:ilvl="7" w:tentative="0">
      <w:start w:val="1"/>
      <w:numFmt w:val="bullet"/>
      <w:lvlText w:val="o"/>
      <w:lvlJc w:val="left"/>
      <w:pPr>
        <w:tabs>
          <w:tab w:val="left" w:pos="5835"/>
        </w:tabs>
        <w:ind w:left="5835" w:hanging="360"/>
      </w:pPr>
      <w:rPr>
        <w:rFonts w:hint="default" w:ascii="Courier New" w:hAnsi="Courier New"/>
      </w:rPr>
    </w:lvl>
    <w:lvl w:ilvl="8" w:tentative="0">
      <w:start w:val="1"/>
      <w:numFmt w:val="bullet"/>
      <w:lvlText w:val=""/>
      <w:lvlJc w:val="left"/>
      <w:pPr>
        <w:tabs>
          <w:tab w:val="left" w:pos="6555"/>
        </w:tabs>
        <w:ind w:left="6555" w:hanging="360"/>
      </w:pPr>
      <w:rPr>
        <w:rFonts w:hint="default" w:ascii="Wingdings" w:hAnsi="Wingdings"/>
      </w:rPr>
    </w:lvl>
  </w:abstractNum>
  <w:abstractNum w:abstractNumId="4">
    <w:nsid w:val="0D593808"/>
    <w:multiLevelType w:val="multilevel"/>
    <w:tmpl w:val="0D5938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2562892"/>
    <w:multiLevelType w:val="multilevel"/>
    <w:tmpl w:val="12562892"/>
    <w:lvl w:ilvl="0" w:tentative="0">
      <w:start w:val="4"/>
      <w:numFmt w:val="decimal"/>
      <w:lvlText w:val="%1."/>
      <w:lvlJc w:val="left"/>
      <w:pPr>
        <w:ind w:left="440" w:hanging="4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
    <w:nsid w:val="13142C65"/>
    <w:multiLevelType w:val="multilevel"/>
    <w:tmpl w:val="13142C65"/>
    <w:lvl w:ilvl="0" w:tentative="0">
      <w:start w:val="1"/>
      <w:numFmt w:val="decimal"/>
      <w:lvlText w:val="%1."/>
      <w:lvlJc w:val="left"/>
      <w:pPr>
        <w:ind w:left="440" w:hanging="4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14791554"/>
    <w:multiLevelType w:val="multilevel"/>
    <w:tmpl w:val="14791554"/>
    <w:lvl w:ilvl="0" w:tentative="0">
      <w:start w:val="3"/>
      <w:numFmt w:val="decimal"/>
      <w:lvlText w:val="%1."/>
      <w:lvlJc w:val="left"/>
      <w:pPr>
        <w:ind w:left="600" w:hanging="60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8">
    <w:nsid w:val="147F0663"/>
    <w:multiLevelType w:val="multilevel"/>
    <w:tmpl w:val="147F066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62E2A39"/>
    <w:multiLevelType w:val="multilevel"/>
    <w:tmpl w:val="162E2A3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76E7BFA"/>
    <w:multiLevelType w:val="multilevel"/>
    <w:tmpl w:val="176E7B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7D60FA7"/>
    <w:multiLevelType w:val="multilevel"/>
    <w:tmpl w:val="17D60F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7EA184D"/>
    <w:multiLevelType w:val="multilevel"/>
    <w:tmpl w:val="17EA18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A1A11D0"/>
    <w:multiLevelType w:val="multilevel"/>
    <w:tmpl w:val="1A1A11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D7D0100"/>
    <w:multiLevelType w:val="multilevel"/>
    <w:tmpl w:val="1D7D01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E2E0A5A"/>
    <w:multiLevelType w:val="multilevel"/>
    <w:tmpl w:val="1E2E0A5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
    <w:nsid w:val="257B14E5"/>
    <w:multiLevelType w:val="multilevel"/>
    <w:tmpl w:val="257B14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BE5323B"/>
    <w:multiLevelType w:val="multilevel"/>
    <w:tmpl w:val="2BE532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D8347F6"/>
    <w:multiLevelType w:val="multilevel"/>
    <w:tmpl w:val="2D8347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F377FB1"/>
    <w:multiLevelType w:val="multilevel"/>
    <w:tmpl w:val="2F377F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20535A9"/>
    <w:multiLevelType w:val="multilevel"/>
    <w:tmpl w:val="320535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8846CB8"/>
    <w:multiLevelType w:val="multilevel"/>
    <w:tmpl w:val="38846CB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3A202E11"/>
    <w:multiLevelType w:val="multilevel"/>
    <w:tmpl w:val="3A202E11"/>
    <w:lvl w:ilvl="0" w:tentative="0">
      <w:start w:val="1"/>
      <w:numFmt w:val="decimal"/>
      <w:lvlText w:val="%1."/>
      <w:lvlJc w:val="left"/>
      <w:pPr>
        <w:ind w:left="1500" w:hanging="360"/>
      </w:pPr>
      <w:rPr>
        <w:rFonts w:hint="default"/>
      </w:rPr>
    </w:lvl>
    <w:lvl w:ilvl="1" w:tentative="0">
      <w:start w:val="1"/>
      <w:numFmt w:val="lowerLetter"/>
      <w:lvlText w:val="%2."/>
      <w:lvlJc w:val="left"/>
      <w:pPr>
        <w:ind w:left="2220" w:hanging="360"/>
      </w:pPr>
    </w:lvl>
    <w:lvl w:ilvl="2" w:tentative="0">
      <w:start w:val="1"/>
      <w:numFmt w:val="lowerRoman"/>
      <w:lvlText w:val="%3."/>
      <w:lvlJc w:val="right"/>
      <w:pPr>
        <w:ind w:left="2940" w:hanging="180"/>
      </w:pPr>
    </w:lvl>
    <w:lvl w:ilvl="3" w:tentative="0">
      <w:start w:val="1"/>
      <w:numFmt w:val="decimal"/>
      <w:lvlText w:val="%4."/>
      <w:lvlJc w:val="left"/>
      <w:pPr>
        <w:ind w:left="3660" w:hanging="360"/>
      </w:pPr>
    </w:lvl>
    <w:lvl w:ilvl="4" w:tentative="0">
      <w:start w:val="1"/>
      <w:numFmt w:val="lowerLetter"/>
      <w:lvlText w:val="%5."/>
      <w:lvlJc w:val="left"/>
      <w:pPr>
        <w:ind w:left="4380" w:hanging="360"/>
      </w:pPr>
    </w:lvl>
    <w:lvl w:ilvl="5" w:tentative="0">
      <w:start w:val="1"/>
      <w:numFmt w:val="lowerRoman"/>
      <w:lvlText w:val="%6."/>
      <w:lvlJc w:val="right"/>
      <w:pPr>
        <w:ind w:left="5100" w:hanging="180"/>
      </w:pPr>
    </w:lvl>
    <w:lvl w:ilvl="6" w:tentative="0">
      <w:start w:val="1"/>
      <w:numFmt w:val="decimal"/>
      <w:lvlText w:val="%7."/>
      <w:lvlJc w:val="left"/>
      <w:pPr>
        <w:ind w:left="5820" w:hanging="360"/>
      </w:pPr>
    </w:lvl>
    <w:lvl w:ilvl="7" w:tentative="0">
      <w:start w:val="1"/>
      <w:numFmt w:val="lowerLetter"/>
      <w:lvlText w:val="%8."/>
      <w:lvlJc w:val="left"/>
      <w:pPr>
        <w:ind w:left="6540" w:hanging="360"/>
      </w:pPr>
    </w:lvl>
    <w:lvl w:ilvl="8" w:tentative="0">
      <w:start w:val="1"/>
      <w:numFmt w:val="lowerRoman"/>
      <w:lvlText w:val="%9."/>
      <w:lvlJc w:val="right"/>
      <w:pPr>
        <w:ind w:left="7260" w:hanging="180"/>
      </w:pPr>
    </w:lvl>
  </w:abstractNum>
  <w:abstractNum w:abstractNumId="23">
    <w:nsid w:val="3D4A707F"/>
    <w:multiLevelType w:val="multilevel"/>
    <w:tmpl w:val="3D4A707F"/>
    <w:lvl w:ilvl="0" w:tentative="0">
      <w:start w:val="2"/>
      <w:numFmt w:val="decimal"/>
      <w:lvlText w:val="%1."/>
      <w:lvlJc w:val="left"/>
      <w:pPr>
        <w:ind w:left="600" w:hanging="60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4">
    <w:nsid w:val="417D0D8D"/>
    <w:multiLevelType w:val="multilevel"/>
    <w:tmpl w:val="417D0D8D"/>
    <w:lvl w:ilvl="0" w:tentative="0">
      <w:start w:val="1"/>
      <w:numFmt w:val="decimal"/>
      <w:lvlText w:val="%1."/>
      <w:lvlJc w:val="left"/>
      <w:pPr>
        <w:ind w:left="1080" w:hanging="36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467C5254"/>
    <w:multiLevelType w:val="multilevel"/>
    <w:tmpl w:val="467C52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699277F"/>
    <w:multiLevelType w:val="multilevel"/>
    <w:tmpl w:val="469927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8B74998"/>
    <w:multiLevelType w:val="multilevel"/>
    <w:tmpl w:val="48B749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B0B27AF"/>
    <w:multiLevelType w:val="multilevel"/>
    <w:tmpl w:val="4B0B27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E0318CE"/>
    <w:multiLevelType w:val="multilevel"/>
    <w:tmpl w:val="4E0318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1846E36"/>
    <w:multiLevelType w:val="multilevel"/>
    <w:tmpl w:val="51846E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2A3743E"/>
    <w:multiLevelType w:val="multilevel"/>
    <w:tmpl w:val="52A374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2DD1F8A"/>
    <w:multiLevelType w:val="multilevel"/>
    <w:tmpl w:val="52DD1F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54E1070B"/>
    <w:multiLevelType w:val="multilevel"/>
    <w:tmpl w:val="54E1070B"/>
    <w:lvl w:ilvl="0" w:tentative="0">
      <w:start w:val="1"/>
      <w:numFmt w:val="decimal"/>
      <w:lvlText w:val="%1."/>
      <w:lvlJc w:val="left"/>
      <w:pPr>
        <w:ind w:left="1530" w:hanging="360"/>
      </w:pPr>
      <w:rPr>
        <w:rFonts w:hint="default"/>
      </w:rPr>
    </w:lvl>
    <w:lvl w:ilvl="1" w:tentative="0">
      <w:start w:val="1"/>
      <w:numFmt w:val="lowerLetter"/>
      <w:lvlText w:val="%2."/>
      <w:lvlJc w:val="left"/>
      <w:pPr>
        <w:ind w:left="2250" w:hanging="360"/>
      </w:pPr>
    </w:lvl>
    <w:lvl w:ilvl="2" w:tentative="0">
      <w:start w:val="1"/>
      <w:numFmt w:val="lowerRoman"/>
      <w:lvlText w:val="%3."/>
      <w:lvlJc w:val="right"/>
      <w:pPr>
        <w:ind w:left="2970" w:hanging="180"/>
      </w:pPr>
    </w:lvl>
    <w:lvl w:ilvl="3" w:tentative="0">
      <w:start w:val="1"/>
      <w:numFmt w:val="decimal"/>
      <w:lvlText w:val="%4."/>
      <w:lvlJc w:val="left"/>
      <w:pPr>
        <w:ind w:left="3690" w:hanging="360"/>
      </w:pPr>
    </w:lvl>
    <w:lvl w:ilvl="4" w:tentative="0">
      <w:start w:val="1"/>
      <w:numFmt w:val="lowerLetter"/>
      <w:lvlText w:val="%5."/>
      <w:lvlJc w:val="left"/>
      <w:pPr>
        <w:ind w:left="4410" w:hanging="360"/>
      </w:pPr>
    </w:lvl>
    <w:lvl w:ilvl="5" w:tentative="0">
      <w:start w:val="1"/>
      <w:numFmt w:val="lowerRoman"/>
      <w:lvlText w:val="%6."/>
      <w:lvlJc w:val="right"/>
      <w:pPr>
        <w:ind w:left="5130" w:hanging="180"/>
      </w:pPr>
    </w:lvl>
    <w:lvl w:ilvl="6" w:tentative="0">
      <w:start w:val="1"/>
      <w:numFmt w:val="decimal"/>
      <w:lvlText w:val="%7."/>
      <w:lvlJc w:val="left"/>
      <w:pPr>
        <w:ind w:left="5850" w:hanging="360"/>
      </w:pPr>
    </w:lvl>
    <w:lvl w:ilvl="7" w:tentative="0">
      <w:start w:val="1"/>
      <w:numFmt w:val="lowerLetter"/>
      <w:lvlText w:val="%8."/>
      <w:lvlJc w:val="left"/>
      <w:pPr>
        <w:ind w:left="6570" w:hanging="360"/>
      </w:pPr>
    </w:lvl>
    <w:lvl w:ilvl="8" w:tentative="0">
      <w:start w:val="1"/>
      <w:numFmt w:val="lowerRoman"/>
      <w:lvlText w:val="%9."/>
      <w:lvlJc w:val="right"/>
      <w:pPr>
        <w:ind w:left="7290" w:hanging="180"/>
      </w:pPr>
    </w:lvl>
  </w:abstractNum>
  <w:abstractNum w:abstractNumId="34">
    <w:nsid w:val="57482AB2"/>
    <w:multiLevelType w:val="multilevel"/>
    <w:tmpl w:val="57482A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5D541901"/>
    <w:multiLevelType w:val="multilevel"/>
    <w:tmpl w:val="5D5419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61CF027D"/>
    <w:multiLevelType w:val="multilevel"/>
    <w:tmpl w:val="61CF02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633D6D33"/>
    <w:multiLevelType w:val="multilevel"/>
    <w:tmpl w:val="633D6D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67BB419A"/>
    <w:multiLevelType w:val="multilevel"/>
    <w:tmpl w:val="67BB41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6DEF41F9"/>
    <w:multiLevelType w:val="multilevel"/>
    <w:tmpl w:val="6DEF41F9"/>
    <w:lvl w:ilvl="0" w:tentative="0">
      <w:start w:val="1"/>
      <w:numFmt w:val="decimal"/>
      <w:lvlText w:val="%1."/>
      <w:lvlJc w:val="left"/>
      <w:pPr>
        <w:ind w:left="1890" w:hanging="360"/>
      </w:pPr>
      <w:rPr>
        <w:rFonts w:hint="default"/>
      </w:rPr>
    </w:lvl>
    <w:lvl w:ilvl="1" w:tentative="0">
      <w:start w:val="1"/>
      <w:numFmt w:val="lowerLetter"/>
      <w:lvlText w:val="%2."/>
      <w:lvlJc w:val="left"/>
      <w:pPr>
        <w:ind w:left="2610" w:hanging="360"/>
      </w:pPr>
    </w:lvl>
    <w:lvl w:ilvl="2" w:tentative="0">
      <w:start w:val="1"/>
      <w:numFmt w:val="lowerRoman"/>
      <w:lvlText w:val="%3."/>
      <w:lvlJc w:val="right"/>
      <w:pPr>
        <w:ind w:left="3330" w:hanging="180"/>
      </w:pPr>
    </w:lvl>
    <w:lvl w:ilvl="3" w:tentative="0">
      <w:start w:val="1"/>
      <w:numFmt w:val="decimal"/>
      <w:lvlText w:val="%4."/>
      <w:lvlJc w:val="left"/>
      <w:pPr>
        <w:ind w:left="4050" w:hanging="360"/>
      </w:pPr>
    </w:lvl>
    <w:lvl w:ilvl="4" w:tentative="0">
      <w:start w:val="1"/>
      <w:numFmt w:val="lowerLetter"/>
      <w:lvlText w:val="%5."/>
      <w:lvlJc w:val="left"/>
      <w:pPr>
        <w:ind w:left="4770" w:hanging="360"/>
      </w:pPr>
    </w:lvl>
    <w:lvl w:ilvl="5" w:tentative="0">
      <w:start w:val="1"/>
      <w:numFmt w:val="lowerRoman"/>
      <w:lvlText w:val="%6."/>
      <w:lvlJc w:val="right"/>
      <w:pPr>
        <w:ind w:left="5490" w:hanging="180"/>
      </w:pPr>
    </w:lvl>
    <w:lvl w:ilvl="6" w:tentative="0">
      <w:start w:val="1"/>
      <w:numFmt w:val="decimal"/>
      <w:lvlText w:val="%7."/>
      <w:lvlJc w:val="left"/>
      <w:pPr>
        <w:ind w:left="6210" w:hanging="360"/>
      </w:pPr>
    </w:lvl>
    <w:lvl w:ilvl="7" w:tentative="0">
      <w:start w:val="1"/>
      <w:numFmt w:val="lowerLetter"/>
      <w:lvlText w:val="%8."/>
      <w:lvlJc w:val="left"/>
      <w:pPr>
        <w:ind w:left="6930" w:hanging="360"/>
      </w:pPr>
    </w:lvl>
    <w:lvl w:ilvl="8" w:tentative="0">
      <w:start w:val="1"/>
      <w:numFmt w:val="lowerRoman"/>
      <w:lvlText w:val="%9."/>
      <w:lvlJc w:val="right"/>
      <w:pPr>
        <w:ind w:left="7650" w:hanging="180"/>
      </w:pPr>
    </w:lvl>
  </w:abstractNum>
  <w:abstractNum w:abstractNumId="40">
    <w:nsid w:val="6EA17797"/>
    <w:multiLevelType w:val="multilevel"/>
    <w:tmpl w:val="6EA177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73990BF9"/>
    <w:multiLevelType w:val="multilevel"/>
    <w:tmpl w:val="73990B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787D1A31"/>
    <w:multiLevelType w:val="multilevel"/>
    <w:tmpl w:val="787D1A31"/>
    <w:lvl w:ilvl="0" w:tentative="0">
      <w:start w:val="1"/>
      <w:numFmt w:val="decimal"/>
      <w:lvlText w:val="%1."/>
      <w:lvlJc w:val="left"/>
      <w:pPr>
        <w:ind w:left="1140" w:hanging="360"/>
      </w:pPr>
      <w:rPr>
        <w:rFonts w:hint="default"/>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43">
    <w:nsid w:val="7B425A3F"/>
    <w:multiLevelType w:val="multilevel"/>
    <w:tmpl w:val="7B425A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7DC82B79"/>
    <w:multiLevelType w:val="multilevel"/>
    <w:tmpl w:val="7DC82B79"/>
    <w:lvl w:ilvl="0" w:tentative="0">
      <w:start w:val="4"/>
      <w:numFmt w:val="decimal"/>
      <w:lvlText w:val="%1."/>
      <w:lvlJc w:val="left"/>
      <w:pPr>
        <w:ind w:left="600" w:hanging="600"/>
      </w:pPr>
      <w:rPr>
        <w:rFonts w:hint="default"/>
      </w:rPr>
    </w:lvl>
    <w:lvl w:ilvl="1" w:tentative="0">
      <w:start w:val="8"/>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45">
    <w:nsid w:val="7F996B4E"/>
    <w:multiLevelType w:val="multilevel"/>
    <w:tmpl w:val="7F996B4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6"/>
  </w:num>
  <w:num w:numId="2">
    <w:abstractNumId w:val="24"/>
  </w:num>
  <w:num w:numId="3">
    <w:abstractNumId w:val="23"/>
  </w:num>
  <w:num w:numId="4">
    <w:abstractNumId w:val="3"/>
  </w:num>
  <w:num w:numId="5">
    <w:abstractNumId w:val="40"/>
  </w:num>
  <w:num w:numId="6">
    <w:abstractNumId w:val="36"/>
  </w:num>
  <w:num w:numId="7">
    <w:abstractNumId w:val="37"/>
  </w:num>
  <w:num w:numId="8">
    <w:abstractNumId w:val="7"/>
  </w:num>
  <w:num w:numId="9">
    <w:abstractNumId w:val="34"/>
  </w:num>
  <w:num w:numId="10">
    <w:abstractNumId w:val="17"/>
  </w:num>
  <w:num w:numId="11">
    <w:abstractNumId w:val="14"/>
  </w:num>
  <w:num w:numId="12">
    <w:abstractNumId w:val="35"/>
  </w:num>
  <w:num w:numId="13">
    <w:abstractNumId w:val="32"/>
  </w:num>
  <w:num w:numId="14">
    <w:abstractNumId w:val="12"/>
  </w:num>
  <w:num w:numId="15">
    <w:abstractNumId w:val="41"/>
  </w:num>
  <w:num w:numId="16">
    <w:abstractNumId w:val="4"/>
  </w:num>
  <w:num w:numId="17">
    <w:abstractNumId w:val="27"/>
  </w:num>
  <w:num w:numId="18">
    <w:abstractNumId w:val="31"/>
  </w:num>
  <w:num w:numId="19">
    <w:abstractNumId w:val="43"/>
  </w:num>
  <w:num w:numId="20">
    <w:abstractNumId w:val="19"/>
  </w:num>
  <w:num w:numId="21">
    <w:abstractNumId w:val="18"/>
  </w:num>
  <w:num w:numId="22">
    <w:abstractNumId w:val="30"/>
  </w:num>
  <w:num w:numId="23">
    <w:abstractNumId w:val="0"/>
  </w:num>
  <w:num w:numId="24">
    <w:abstractNumId w:val="29"/>
  </w:num>
  <w:num w:numId="25">
    <w:abstractNumId w:val="2"/>
  </w:num>
  <w:num w:numId="26">
    <w:abstractNumId w:val="8"/>
  </w:num>
  <w:num w:numId="27">
    <w:abstractNumId w:val="16"/>
  </w:num>
  <w:num w:numId="28">
    <w:abstractNumId w:val="11"/>
  </w:num>
  <w:num w:numId="29">
    <w:abstractNumId w:val="38"/>
  </w:num>
  <w:num w:numId="30">
    <w:abstractNumId w:val="26"/>
  </w:num>
  <w:num w:numId="31">
    <w:abstractNumId w:val="13"/>
  </w:num>
  <w:num w:numId="32">
    <w:abstractNumId w:val="28"/>
  </w:num>
  <w:num w:numId="33">
    <w:abstractNumId w:val="10"/>
  </w:num>
  <w:num w:numId="34">
    <w:abstractNumId w:val="25"/>
  </w:num>
  <w:num w:numId="35">
    <w:abstractNumId w:val="20"/>
  </w:num>
  <w:num w:numId="36">
    <w:abstractNumId w:val="9"/>
  </w:num>
  <w:num w:numId="37">
    <w:abstractNumId w:val="1"/>
  </w:num>
  <w:num w:numId="38">
    <w:abstractNumId w:val="45"/>
  </w:num>
  <w:num w:numId="39">
    <w:abstractNumId w:val="5"/>
  </w:num>
  <w:num w:numId="40">
    <w:abstractNumId w:val="15"/>
  </w:num>
  <w:num w:numId="41">
    <w:abstractNumId w:val="44"/>
  </w:num>
  <w:num w:numId="42">
    <w:abstractNumId w:val="42"/>
  </w:num>
  <w:num w:numId="43">
    <w:abstractNumId w:val="22"/>
  </w:num>
  <w:num w:numId="44">
    <w:abstractNumId w:val="21"/>
  </w:num>
  <w:num w:numId="45">
    <w:abstractNumId w:val="33"/>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20"/>
  <w:hyphenationZone w:val="425"/>
  <w:characterSpacingControl w:val="doNotCompress"/>
  <w:footnotePr>
    <w:footnote w:id="4"/>
    <w:footnote w:id="5"/>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22D"/>
    <w:rsid w:val="00005CD3"/>
    <w:rsid w:val="00022728"/>
    <w:rsid w:val="000259EB"/>
    <w:rsid w:val="00037E5E"/>
    <w:rsid w:val="00040FEA"/>
    <w:rsid w:val="00042BCE"/>
    <w:rsid w:val="00044EDC"/>
    <w:rsid w:val="00050B9C"/>
    <w:rsid w:val="00056D1D"/>
    <w:rsid w:val="00063FFC"/>
    <w:rsid w:val="00071DF3"/>
    <w:rsid w:val="00074D22"/>
    <w:rsid w:val="00075405"/>
    <w:rsid w:val="00075BCB"/>
    <w:rsid w:val="00076ACC"/>
    <w:rsid w:val="00084EC6"/>
    <w:rsid w:val="00085E56"/>
    <w:rsid w:val="00094C42"/>
    <w:rsid w:val="000A1C96"/>
    <w:rsid w:val="000C2FF7"/>
    <w:rsid w:val="000D096F"/>
    <w:rsid w:val="000E0EC7"/>
    <w:rsid w:val="000E492D"/>
    <w:rsid w:val="000F1ABF"/>
    <w:rsid w:val="000F5220"/>
    <w:rsid w:val="000F596D"/>
    <w:rsid w:val="000F6B5A"/>
    <w:rsid w:val="001011BC"/>
    <w:rsid w:val="00107E79"/>
    <w:rsid w:val="00110DD6"/>
    <w:rsid w:val="0011641A"/>
    <w:rsid w:val="0013181A"/>
    <w:rsid w:val="001338C9"/>
    <w:rsid w:val="00135645"/>
    <w:rsid w:val="00137080"/>
    <w:rsid w:val="00137CC4"/>
    <w:rsid w:val="00137F54"/>
    <w:rsid w:val="00146AE2"/>
    <w:rsid w:val="001503AE"/>
    <w:rsid w:val="00153401"/>
    <w:rsid w:val="0015592F"/>
    <w:rsid w:val="00161B27"/>
    <w:rsid w:val="001636AA"/>
    <w:rsid w:val="00165776"/>
    <w:rsid w:val="00166F8B"/>
    <w:rsid w:val="00167A2A"/>
    <w:rsid w:val="001754EE"/>
    <w:rsid w:val="00176055"/>
    <w:rsid w:val="001761BE"/>
    <w:rsid w:val="001778F7"/>
    <w:rsid w:val="00185F46"/>
    <w:rsid w:val="00190EA8"/>
    <w:rsid w:val="001A40A1"/>
    <w:rsid w:val="001A5809"/>
    <w:rsid w:val="001A6EB9"/>
    <w:rsid w:val="001B7B01"/>
    <w:rsid w:val="001C1C69"/>
    <w:rsid w:val="001D1052"/>
    <w:rsid w:val="001D4019"/>
    <w:rsid w:val="001D664A"/>
    <w:rsid w:val="001E61D7"/>
    <w:rsid w:val="001F0719"/>
    <w:rsid w:val="001F23AA"/>
    <w:rsid w:val="001F2E13"/>
    <w:rsid w:val="001F3600"/>
    <w:rsid w:val="001F4A38"/>
    <w:rsid w:val="002008EB"/>
    <w:rsid w:val="00201539"/>
    <w:rsid w:val="002036A4"/>
    <w:rsid w:val="00204FFE"/>
    <w:rsid w:val="00210582"/>
    <w:rsid w:val="002138A5"/>
    <w:rsid w:val="002171CD"/>
    <w:rsid w:val="00226F9D"/>
    <w:rsid w:val="002323B4"/>
    <w:rsid w:val="00235BA4"/>
    <w:rsid w:val="00241974"/>
    <w:rsid w:val="00243DA5"/>
    <w:rsid w:val="0024690C"/>
    <w:rsid w:val="00247EEF"/>
    <w:rsid w:val="00253A1D"/>
    <w:rsid w:val="00255258"/>
    <w:rsid w:val="0025587A"/>
    <w:rsid w:val="00261BEC"/>
    <w:rsid w:val="0026775F"/>
    <w:rsid w:val="00270717"/>
    <w:rsid w:val="00273D14"/>
    <w:rsid w:val="00273D66"/>
    <w:rsid w:val="00275047"/>
    <w:rsid w:val="0027553A"/>
    <w:rsid w:val="00283B0A"/>
    <w:rsid w:val="00283B43"/>
    <w:rsid w:val="00284240"/>
    <w:rsid w:val="00284243"/>
    <w:rsid w:val="00284897"/>
    <w:rsid w:val="00285EAC"/>
    <w:rsid w:val="002877E3"/>
    <w:rsid w:val="002900C1"/>
    <w:rsid w:val="00290891"/>
    <w:rsid w:val="002915F7"/>
    <w:rsid w:val="00292A46"/>
    <w:rsid w:val="00292EAD"/>
    <w:rsid w:val="00294D37"/>
    <w:rsid w:val="002961B3"/>
    <w:rsid w:val="002961C8"/>
    <w:rsid w:val="00297DB1"/>
    <w:rsid w:val="002A0008"/>
    <w:rsid w:val="002A57D1"/>
    <w:rsid w:val="002B53F9"/>
    <w:rsid w:val="002C0B60"/>
    <w:rsid w:val="002C2DC9"/>
    <w:rsid w:val="002C3281"/>
    <w:rsid w:val="002C4955"/>
    <w:rsid w:val="002D0745"/>
    <w:rsid w:val="002D1748"/>
    <w:rsid w:val="002D5A0E"/>
    <w:rsid w:val="002D5E2A"/>
    <w:rsid w:val="002D7680"/>
    <w:rsid w:val="002E124A"/>
    <w:rsid w:val="002E1D3F"/>
    <w:rsid w:val="002E325A"/>
    <w:rsid w:val="002E60B5"/>
    <w:rsid w:val="002E6FE1"/>
    <w:rsid w:val="002F0D49"/>
    <w:rsid w:val="002F3D4F"/>
    <w:rsid w:val="002F7AA7"/>
    <w:rsid w:val="00301B4D"/>
    <w:rsid w:val="003104C0"/>
    <w:rsid w:val="00310AAF"/>
    <w:rsid w:val="00310CDF"/>
    <w:rsid w:val="00316D77"/>
    <w:rsid w:val="003175E9"/>
    <w:rsid w:val="00317E30"/>
    <w:rsid w:val="0033410B"/>
    <w:rsid w:val="003451E1"/>
    <w:rsid w:val="00351D85"/>
    <w:rsid w:val="00351FE8"/>
    <w:rsid w:val="00352FFF"/>
    <w:rsid w:val="003552E9"/>
    <w:rsid w:val="003569F7"/>
    <w:rsid w:val="0036128E"/>
    <w:rsid w:val="00361FF1"/>
    <w:rsid w:val="00364CF1"/>
    <w:rsid w:val="00365D2C"/>
    <w:rsid w:val="00374831"/>
    <w:rsid w:val="0037787E"/>
    <w:rsid w:val="00377A42"/>
    <w:rsid w:val="00380C8C"/>
    <w:rsid w:val="00382F9F"/>
    <w:rsid w:val="00387048"/>
    <w:rsid w:val="003874B0"/>
    <w:rsid w:val="00390C63"/>
    <w:rsid w:val="00391D8F"/>
    <w:rsid w:val="003A10DF"/>
    <w:rsid w:val="003A6435"/>
    <w:rsid w:val="003A7BEC"/>
    <w:rsid w:val="003B0028"/>
    <w:rsid w:val="003B6905"/>
    <w:rsid w:val="003C0171"/>
    <w:rsid w:val="003C1108"/>
    <w:rsid w:val="003C36E5"/>
    <w:rsid w:val="003D3243"/>
    <w:rsid w:val="003E3B22"/>
    <w:rsid w:val="003F41DF"/>
    <w:rsid w:val="003F4265"/>
    <w:rsid w:val="003F7467"/>
    <w:rsid w:val="00402C59"/>
    <w:rsid w:val="00406D20"/>
    <w:rsid w:val="0042340E"/>
    <w:rsid w:val="00424E27"/>
    <w:rsid w:val="004260D9"/>
    <w:rsid w:val="004260FE"/>
    <w:rsid w:val="0042679B"/>
    <w:rsid w:val="004304B5"/>
    <w:rsid w:val="0043211B"/>
    <w:rsid w:val="00435865"/>
    <w:rsid w:val="00435B15"/>
    <w:rsid w:val="00435D94"/>
    <w:rsid w:val="0044020B"/>
    <w:rsid w:val="004422B9"/>
    <w:rsid w:val="00452E27"/>
    <w:rsid w:val="004609B9"/>
    <w:rsid w:val="00460E52"/>
    <w:rsid w:val="004619E7"/>
    <w:rsid w:val="004621DB"/>
    <w:rsid w:val="004656E9"/>
    <w:rsid w:val="004750D3"/>
    <w:rsid w:val="00482D08"/>
    <w:rsid w:val="00483DDC"/>
    <w:rsid w:val="004A5ABC"/>
    <w:rsid w:val="004A7C8D"/>
    <w:rsid w:val="004B6F5A"/>
    <w:rsid w:val="004B77EF"/>
    <w:rsid w:val="004C0A65"/>
    <w:rsid w:val="004C2DDB"/>
    <w:rsid w:val="004D3F48"/>
    <w:rsid w:val="004D4A97"/>
    <w:rsid w:val="004D5270"/>
    <w:rsid w:val="004D7B99"/>
    <w:rsid w:val="004E0EDE"/>
    <w:rsid w:val="004E3757"/>
    <w:rsid w:val="004F7950"/>
    <w:rsid w:val="0050003F"/>
    <w:rsid w:val="00503117"/>
    <w:rsid w:val="005046A8"/>
    <w:rsid w:val="00505CEF"/>
    <w:rsid w:val="00511836"/>
    <w:rsid w:val="0051702A"/>
    <w:rsid w:val="00521210"/>
    <w:rsid w:val="0052414F"/>
    <w:rsid w:val="00531617"/>
    <w:rsid w:val="00531F42"/>
    <w:rsid w:val="00533476"/>
    <w:rsid w:val="00533E50"/>
    <w:rsid w:val="005343F8"/>
    <w:rsid w:val="00541052"/>
    <w:rsid w:val="00542C2C"/>
    <w:rsid w:val="00545245"/>
    <w:rsid w:val="0055083E"/>
    <w:rsid w:val="00555876"/>
    <w:rsid w:val="00557360"/>
    <w:rsid w:val="00560B75"/>
    <w:rsid w:val="0056124A"/>
    <w:rsid w:val="00561EA6"/>
    <w:rsid w:val="0056371C"/>
    <w:rsid w:val="0056522D"/>
    <w:rsid w:val="0056773C"/>
    <w:rsid w:val="005751A8"/>
    <w:rsid w:val="005762E1"/>
    <w:rsid w:val="00576DE5"/>
    <w:rsid w:val="0058156E"/>
    <w:rsid w:val="00585793"/>
    <w:rsid w:val="00585AAA"/>
    <w:rsid w:val="0058658C"/>
    <w:rsid w:val="00586F49"/>
    <w:rsid w:val="00590D45"/>
    <w:rsid w:val="00592C50"/>
    <w:rsid w:val="005967B3"/>
    <w:rsid w:val="00597BDE"/>
    <w:rsid w:val="005A09F0"/>
    <w:rsid w:val="005B0A65"/>
    <w:rsid w:val="005C2DFE"/>
    <w:rsid w:val="005D2252"/>
    <w:rsid w:val="005D52C3"/>
    <w:rsid w:val="005E208C"/>
    <w:rsid w:val="005E3DF0"/>
    <w:rsid w:val="005E4DD5"/>
    <w:rsid w:val="005E5C4E"/>
    <w:rsid w:val="005E6D76"/>
    <w:rsid w:val="005F7D22"/>
    <w:rsid w:val="00600B36"/>
    <w:rsid w:val="00602CD8"/>
    <w:rsid w:val="00604734"/>
    <w:rsid w:val="006060E2"/>
    <w:rsid w:val="00613D7F"/>
    <w:rsid w:val="0061793C"/>
    <w:rsid w:val="006211B1"/>
    <w:rsid w:val="0062328C"/>
    <w:rsid w:val="00623738"/>
    <w:rsid w:val="00624C8B"/>
    <w:rsid w:val="00625C47"/>
    <w:rsid w:val="00631B4B"/>
    <w:rsid w:val="00632300"/>
    <w:rsid w:val="00641DB2"/>
    <w:rsid w:val="00642C4A"/>
    <w:rsid w:val="00645629"/>
    <w:rsid w:val="006625EA"/>
    <w:rsid w:val="00665746"/>
    <w:rsid w:val="0066724C"/>
    <w:rsid w:val="00671439"/>
    <w:rsid w:val="006742FB"/>
    <w:rsid w:val="006778DF"/>
    <w:rsid w:val="00677C1D"/>
    <w:rsid w:val="00680673"/>
    <w:rsid w:val="00681FC6"/>
    <w:rsid w:val="006842EB"/>
    <w:rsid w:val="00685A2F"/>
    <w:rsid w:val="00693FC3"/>
    <w:rsid w:val="00695515"/>
    <w:rsid w:val="00695FDC"/>
    <w:rsid w:val="00697F8F"/>
    <w:rsid w:val="006A0017"/>
    <w:rsid w:val="006A58EB"/>
    <w:rsid w:val="006A7D20"/>
    <w:rsid w:val="006B2706"/>
    <w:rsid w:val="006B5DAE"/>
    <w:rsid w:val="006C2B57"/>
    <w:rsid w:val="006C5D61"/>
    <w:rsid w:val="006C7AC4"/>
    <w:rsid w:val="006D0043"/>
    <w:rsid w:val="006D6F56"/>
    <w:rsid w:val="006D7DA6"/>
    <w:rsid w:val="006E2D21"/>
    <w:rsid w:val="006E6F00"/>
    <w:rsid w:val="006F6A64"/>
    <w:rsid w:val="006F7688"/>
    <w:rsid w:val="00700624"/>
    <w:rsid w:val="007015C5"/>
    <w:rsid w:val="00702A13"/>
    <w:rsid w:val="00705F07"/>
    <w:rsid w:val="007106F0"/>
    <w:rsid w:val="00711B8B"/>
    <w:rsid w:val="007161F8"/>
    <w:rsid w:val="007203FC"/>
    <w:rsid w:val="00724E9B"/>
    <w:rsid w:val="007302F7"/>
    <w:rsid w:val="0073377D"/>
    <w:rsid w:val="00741C38"/>
    <w:rsid w:val="0074715C"/>
    <w:rsid w:val="007519F9"/>
    <w:rsid w:val="00751B13"/>
    <w:rsid w:val="00761571"/>
    <w:rsid w:val="00763EBA"/>
    <w:rsid w:val="00772C1F"/>
    <w:rsid w:val="007756A4"/>
    <w:rsid w:val="00787E37"/>
    <w:rsid w:val="0079468A"/>
    <w:rsid w:val="00795CB1"/>
    <w:rsid w:val="007A3E85"/>
    <w:rsid w:val="007B322C"/>
    <w:rsid w:val="007B3ACF"/>
    <w:rsid w:val="007B4802"/>
    <w:rsid w:val="007C2C38"/>
    <w:rsid w:val="007C60BB"/>
    <w:rsid w:val="007D7536"/>
    <w:rsid w:val="007E4948"/>
    <w:rsid w:val="007F419D"/>
    <w:rsid w:val="00804C71"/>
    <w:rsid w:val="00805C09"/>
    <w:rsid w:val="008071B6"/>
    <w:rsid w:val="008144D7"/>
    <w:rsid w:val="00816B6D"/>
    <w:rsid w:val="0081791C"/>
    <w:rsid w:val="008247E7"/>
    <w:rsid w:val="008274E8"/>
    <w:rsid w:val="00827D10"/>
    <w:rsid w:val="00830431"/>
    <w:rsid w:val="00834130"/>
    <w:rsid w:val="008509C2"/>
    <w:rsid w:val="00851A5D"/>
    <w:rsid w:val="00862DE8"/>
    <w:rsid w:val="008663C5"/>
    <w:rsid w:val="0086746A"/>
    <w:rsid w:val="008723D0"/>
    <w:rsid w:val="0088144E"/>
    <w:rsid w:val="00882825"/>
    <w:rsid w:val="00892154"/>
    <w:rsid w:val="0089410D"/>
    <w:rsid w:val="00894DF1"/>
    <w:rsid w:val="00895B19"/>
    <w:rsid w:val="00896940"/>
    <w:rsid w:val="008A10BC"/>
    <w:rsid w:val="008B103A"/>
    <w:rsid w:val="008B1A16"/>
    <w:rsid w:val="008D1DB6"/>
    <w:rsid w:val="008D2511"/>
    <w:rsid w:val="008D6D10"/>
    <w:rsid w:val="008D7906"/>
    <w:rsid w:val="008E322C"/>
    <w:rsid w:val="008E6B27"/>
    <w:rsid w:val="008F1E83"/>
    <w:rsid w:val="008F505F"/>
    <w:rsid w:val="008F63B5"/>
    <w:rsid w:val="008F6658"/>
    <w:rsid w:val="009047CE"/>
    <w:rsid w:val="00911904"/>
    <w:rsid w:val="00915D36"/>
    <w:rsid w:val="00916288"/>
    <w:rsid w:val="009167AB"/>
    <w:rsid w:val="009170C4"/>
    <w:rsid w:val="00920BC1"/>
    <w:rsid w:val="00921E80"/>
    <w:rsid w:val="0093051D"/>
    <w:rsid w:val="00933634"/>
    <w:rsid w:val="0093581D"/>
    <w:rsid w:val="00935C2E"/>
    <w:rsid w:val="00945D8B"/>
    <w:rsid w:val="00947920"/>
    <w:rsid w:val="00950D83"/>
    <w:rsid w:val="009553E2"/>
    <w:rsid w:val="00955884"/>
    <w:rsid w:val="0096364E"/>
    <w:rsid w:val="00975931"/>
    <w:rsid w:val="009759E7"/>
    <w:rsid w:val="009770BE"/>
    <w:rsid w:val="00977456"/>
    <w:rsid w:val="009810CE"/>
    <w:rsid w:val="00982B01"/>
    <w:rsid w:val="0098308A"/>
    <w:rsid w:val="0099191C"/>
    <w:rsid w:val="0099608D"/>
    <w:rsid w:val="009A0793"/>
    <w:rsid w:val="009A6173"/>
    <w:rsid w:val="009B16F5"/>
    <w:rsid w:val="009D176E"/>
    <w:rsid w:val="009D259A"/>
    <w:rsid w:val="009D4367"/>
    <w:rsid w:val="009E1EDE"/>
    <w:rsid w:val="009E2880"/>
    <w:rsid w:val="009E6F95"/>
    <w:rsid w:val="009E7B1F"/>
    <w:rsid w:val="009F10DF"/>
    <w:rsid w:val="00A128D0"/>
    <w:rsid w:val="00A1438E"/>
    <w:rsid w:val="00A15B49"/>
    <w:rsid w:val="00A21147"/>
    <w:rsid w:val="00A21841"/>
    <w:rsid w:val="00A2422D"/>
    <w:rsid w:val="00A24CDE"/>
    <w:rsid w:val="00A30313"/>
    <w:rsid w:val="00A304B2"/>
    <w:rsid w:val="00A32355"/>
    <w:rsid w:val="00A33673"/>
    <w:rsid w:val="00A341F3"/>
    <w:rsid w:val="00A35485"/>
    <w:rsid w:val="00A41900"/>
    <w:rsid w:val="00A459EB"/>
    <w:rsid w:val="00A61CA2"/>
    <w:rsid w:val="00A64195"/>
    <w:rsid w:val="00A645A2"/>
    <w:rsid w:val="00A64BE3"/>
    <w:rsid w:val="00A70947"/>
    <w:rsid w:val="00A76F04"/>
    <w:rsid w:val="00A87346"/>
    <w:rsid w:val="00A92D15"/>
    <w:rsid w:val="00A92E76"/>
    <w:rsid w:val="00A93CBD"/>
    <w:rsid w:val="00AA2339"/>
    <w:rsid w:val="00AB340B"/>
    <w:rsid w:val="00AB4424"/>
    <w:rsid w:val="00AB4822"/>
    <w:rsid w:val="00AB715B"/>
    <w:rsid w:val="00AC725B"/>
    <w:rsid w:val="00AD0EBD"/>
    <w:rsid w:val="00AD2E5D"/>
    <w:rsid w:val="00AE11A6"/>
    <w:rsid w:val="00AE4BEA"/>
    <w:rsid w:val="00AF7BB8"/>
    <w:rsid w:val="00B0031A"/>
    <w:rsid w:val="00B02C2D"/>
    <w:rsid w:val="00B06A10"/>
    <w:rsid w:val="00B1177D"/>
    <w:rsid w:val="00B22572"/>
    <w:rsid w:val="00B27BD0"/>
    <w:rsid w:val="00B366C6"/>
    <w:rsid w:val="00B36B08"/>
    <w:rsid w:val="00B438B2"/>
    <w:rsid w:val="00B5034C"/>
    <w:rsid w:val="00B51E47"/>
    <w:rsid w:val="00B553FB"/>
    <w:rsid w:val="00B739E4"/>
    <w:rsid w:val="00B74592"/>
    <w:rsid w:val="00B75443"/>
    <w:rsid w:val="00B761E4"/>
    <w:rsid w:val="00B76C9D"/>
    <w:rsid w:val="00B77261"/>
    <w:rsid w:val="00B92C4E"/>
    <w:rsid w:val="00B95503"/>
    <w:rsid w:val="00B96438"/>
    <w:rsid w:val="00B96E81"/>
    <w:rsid w:val="00BA0625"/>
    <w:rsid w:val="00BA64FA"/>
    <w:rsid w:val="00BB09DC"/>
    <w:rsid w:val="00BB3626"/>
    <w:rsid w:val="00BB3AD7"/>
    <w:rsid w:val="00BB69BA"/>
    <w:rsid w:val="00BC1CBE"/>
    <w:rsid w:val="00BC4A60"/>
    <w:rsid w:val="00BD0C1E"/>
    <w:rsid w:val="00BD1BF6"/>
    <w:rsid w:val="00BD5F24"/>
    <w:rsid w:val="00BE14A8"/>
    <w:rsid w:val="00BE1AC1"/>
    <w:rsid w:val="00BE675D"/>
    <w:rsid w:val="00BE7B12"/>
    <w:rsid w:val="00C017DA"/>
    <w:rsid w:val="00C039A5"/>
    <w:rsid w:val="00C07545"/>
    <w:rsid w:val="00C26351"/>
    <w:rsid w:val="00C27EE2"/>
    <w:rsid w:val="00C310E4"/>
    <w:rsid w:val="00C33BE7"/>
    <w:rsid w:val="00C3549C"/>
    <w:rsid w:val="00C47DF6"/>
    <w:rsid w:val="00C5225E"/>
    <w:rsid w:val="00C53919"/>
    <w:rsid w:val="00C5669E"/>
    <w:rsid w:val="00C63E52"/>
    <w:rsid w:val="00C66D14"/>
    <w:rsid w:val="00C6762D"/>
    <w:rsid w:val="00C73DB8"/>
    <w:rsid w:val="00C764B5"/>
    <w:rsid w:val="00C80D0F"/>
    <w:rsid w:val="00C90FE8"/>
    <w:rsid w:val="00C915C5"/>
    <w:rsid w:val="00C94F45"/>
    <w:rsid w:val="00CA6BBC"/>
    <w:rsid w:val="00CB7407"/>
    <w:rsid w:val="00CC0C94"/>
    <w:rsid w:val="00CC232C"/>
    <w:rsid w:val="00CC5F2D"/>
    <w:rsid w:val="00CC7D42"/>
    <w:rsid w:val="00CD02E2"/>
    <w:rsid w:val="00CD43F0"/>
    <w:rsid w:val="00CD7DE1"/>
    <w:rsid w:val="00CE130E"/>
    <w:rsid w:val="00CE1993"/>
    <w:rsid w:val="00CE7C5A"/>
    <w:rsid w:val="00CF2C08"/>
    <w:rsid w:val="00CF523D"/>
    <w:rsid w:val="00CF66FA"/>
    <w:rsid w:val="00D0084A"/>
    <w:rsid w:val="00D014E8"/>
    <w:rsid w:val="00D10B50"/>
    <w:rsid w:val="00D15185"/>
    <w:rsid w:val="00D21DDC"/>
    <w:rsid w:val="00D37574"/>
    <w:rsid w:val="00D40B6C"/>
    <w:rsid w:val="00D41DEA"/>
    <w:rsid w:val="00D426FF"/>
    <w:rsid w:val="00D44557"/>
    <w:rsid w:val="00D45170"/>
    <w:rsid w:val="00D46BC6"/>
    <w:rsid w:val="00D47904"/>
    <w:rsid w:val="00D50752"/>
    <w:rsid w:val="00D51BBF"/>
    <w:rsid w:val="00D5452F"/>
    <w:rsid w:val="00D60CE1"/>
    <w:rsid w:val="00D6429A"/>
    <w:rsid w:val="00D73C43"/>
    <w:rsid w:val="00D75772"/>
    <w:rsid w:val="00D81129"/>
    <w:rsid w:val="00D877D2"/>
    <w:rsid w:val="00D87F83"/>
    <w:rsid w:val="00D97EE7"/>
    <w:rsid w:val="00DA29FD"/>
    <w:rsid w:val="00DA55C5"/>
    <w:rsid w:val="00DA747A"/>
    <w:rsid w:val="00DB2EE0"/>
    <w:rsid w:val="00DB7199"/>
    <w:rsid w:val="00DB739B"/>
    <w:rsid w:val="00DB7461"/>
    <w:rsid w:val="00DC026E"/>
    <w:rsid w:val="00DC1D95"/>
    <w:rsid w:val="00DD40B0"/>
    <w:rsid w:val="00DD443A"/>
    <w:rsid w:val="00DD548D"/>
    <w:rsid w:val="00DE551E"/>
    <w:rsid w:val="00DE61D6"/>
    <w:rsid w:val="00DF1ADC"/>
    <w:rsid w:val="00DF7720"/>
    <w:rsid w:val="00E037A2"/>
    <w:rsid w:val="00E07942"/>
    <w:rsid w:val="00E07F0B"/>
    <w:rsid w:val="00E111B4"/>
    <w:rsid w:val="00E13C91"/>
    <w:rsid w:val="00E154B9"/>
    <w:rsid w:val="00E1587A"/>
    <w:rsid w:val="00E175CA"/>
    <w:rsid w:val="00E17DE5"/>
    <w:rsid w:val="00E21C3C"/>
    <w:rsid w:val="00E23954"/>
    <w:rsid w:val="00E25674"/>
    <w:rsid w:val="00E34BC8"/>
    <w:rsid w:val="00E40940"/>
    <w:rsid w:val="00E4195D"/>
    <w:rsid w:val="00E4336B"/>
    <w:rsid w:val="00E4460E"/>
    <w:rsid w:val="00E44ED9"/>
    <w:rsid w:val="00E47714"/>
    <w:rsid w:val="00E51133"/>
    <w:rsid w:val="00E6006E"/>
    <w:rsid w:val="00E64DD6"/>
    <w:rsid w:val="00E76A9D"/>
    <w:rsid w:val="00E80142"/>
    <w:rsid w:val="00E818EB"/>
    <w:rsid w:val="00E85ABA"/>
    <w:rsid w:val="00E879A8"/>
    <w:rsid w:val="00E917B1"/>
    <w:rsid w:val="00E96250"/>
    <w:rsid w:val="00E975FF"/>
    <w:rsid w:val="00EA2352"/>
    <w:rsid w:val="00EA3E83"/>
    <w:rsid w:val="00EA3F57"/>
    <w:rsid w:val="00EB02A1"/>
    <w:rsid w:val="00EB4F6F"/>
    <w:rsid w:val="00EC2974"/>
    <w:rsid w:val="00EC2F9B"/>
    <w:rsid w:val="00EC588D"/>
    <w:rsid w:val="00EC5B34"/>
    <w:rsid w:val="00ED3D5C"/>
    <w:rsid w:val="00ED7504"/>
    <w:rsid w:val="00EE1BE4"/>
    <w:rsid w:val="00EE22F3"/>
    <w:rsid w:val="00EE5E15"/>
    <w:rsid w:val="00EF0B69"/>
    <w:rsid w:val="00EF4AF1"/>
    <w:rsid w:val="00EF4DD3"/>
    <w:rsid w:val="00EF504D"/>
    <w:rsid w:val="00F02C77"/>
    <w:rsid w:val="00F0596C"/>
    <w:rsid w:val="00F06CBC"/>
    <w:rsid w:val="00F10AE5"/>
    <w:rsid w:val="00F10B24"/>
    <w:rsid w:val="00F264E8"/>
    <w:rsid w:val="00F348D2"/>
    <w:rsid w:val="00F409F7"/>
    <w:rsid w:val="00F41373"/>
    <w:rsid w:val="00F46471"/>
    <w:rsid w:val="00F50429"/>
    <w:rsid w:val="00F50D90"/>
    <w:rsid w:val="00F50DF7"/>
    <w:rsid w:val="00F51EDB"/>
    <w:rsid w:val="00F64E2D"/>
    <w:rsid w:val="00F659D6"/>
    <w:rsid w:val="00F759E8"/>
    <w:rsid w:val="00F76D1E"/>
    <w:rsid w:val="00F83A73"/>
    <w:rsid w:val="00F869B3"/>
    <w:rsid w:val="00F90B2E"/>
    <w:rsid w:val="00F944DE"/>
    <w:rsid w:val="00F966CA"/>
    <w:rsid w:val="00F96C5F"/>
    <w:rsid w:val="00FA2C11"/>
    <w:rsid w:val="00FA4546"/>
    <w:rsid w:val="00FA7665"/>
    <w:rsid w:val="00FB43A2"/>
    <w:rsid w:val="00FC21DA"/>
    <w:rsid w:val="00FC2C23"/>
    <w:rsid w:val="00FC370D"/>
    <w:rsid w:val="00FC54C0"/>
    <w:rsid w:val="00FD3A90"/>
    <w:rsid w:val="00FD3BEA"/>
    <w:rsid w:val="00FD636B"/>
    <w:rsid w:val="00FE325A"/>
    <w:rsid w:val="00FE6C5D"/>
    <w:rsid w:val="00FF1003"/>
    <w:rsid w:val="0BBD3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qFormat="1" w:unhideWhenUsed="0" w:uiPriority="99" w:semiHidden="0"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ind w:firstLine="720"/>
      <w:jc w:val="both"/>
    </w:pPr>
    <w:rPr>
      <w:rFonts w:ascii="Arial" w:hAnsi="Arial" w:eastAsiaTheme="minorHAnsi" w:cstheme="minorBidi"/>
      <w:sz w:val="20"/>
      <w:szCs w:val="22"/>
      <w:lang w:val="en-US" w:eastAsia="en-US" w:bidi="ar-SA"/>
    </w:rPr>
  </w:style>
  <w:style w:type="paragraph" w:styleId="2">
    <w:name w:val="heading 1"/>
    <w:basedOn w:val="1"/>
    <w:next w:val="1"/>
    <w:link w:val="49"/>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45"/>
    <w:unhideWhenUsed/>
    <w:qFormat/>
    <w:uiPriority w:val="9"/>
    <w:pPr>
      <w:keepNext/>
      <w:keepLines/>
      <w:spacing w:before="40"/>
      <w:outlineLvl w:val="1"/>
    </w:pPr>
    <w:rPr>
      <w:rFonts w:eastAsiaTheme="majorEastAsia" w:cstheme="majorBidi"/>
      <w:b/>
      <w:color w:val="2F5597" w:themeColor="accent1" w:themeShade="BF"/>
      <w:sz w:val="26"/>
      <w:szCs w:val="26"/>
    </w:rPr>
  </w:style>
  <w:style w:type="paragraph" w:styleId="4">
    <w:name w:val="heading 3"/>
    <w:basedOn w:val="1"/>
    <w:next w:val="1"/>
    <w:link w:val="46"/>
    <w:unhideWhenUsed/>
    <w:qFormat/>
    <w:uiPriority w:val="9"/>
    <w:pPr>
      <w:keepNext/>
      <w:keepLines/>
      <w:spacing w:before="40"/>
      <w:outlineLvl w:val="2"/>
    </w:pPr>
    <w:rPr>
      <w:rFonts w:eastAsiaTheme="majorEastAsia" w:cstheme="majorBidi"/>
      <w:color w:val="203864" w:themeColor="accent1" w:themeShade="80"/>
      <w:szCs w:val="24"/>
    </w:rPr>
  </w:style>
  <w:style w:type="paragraph" w:styleId="5">
    <w:name w:val="heading 4"/>
    <w:basedOn w:val="1"/>
    <w:next w:val="1"/>
    <w:link w:val="47"/>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8"/>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59"/>
    <w:semiHidden/>
    <w:unhideWhenUsed/>
    <w:qFormat/>
    <w:uiPriority w:val="9"/>
    <w:pPr>
      <w:keepNext/>
      <w:keepLines/>
      <w:spacing w:before="40" w:line="278" w:lineRule="auto"/>
      <w:ind w:firstLine="0"/>
      <w:jc w:val="left"/>
      <w:outlineLvl w:val="5"/>
    </w:pPr>
    <w:rPr>
      <w:rFonts w:asciiTheme="minorHAnsi" w:hAnsiTheme="minorHAnsi" w:eastAsiaTheme="majorEastAsia" w:cstheme="majorBidi"/>
      <w:i/>
      <w:iCs/>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8">
    <w:name w:val="heading 7"/>
    <w:basedOn w:val="1"/>
    <w:next w:val="1"/>
    <w:link w:val="60"/>
    <w:semiHidden/>
    <w:unhideWhenUsed/>
    <w:qFormat/>
    <w:uiPriority w:val="9"/>
    <w:pPr>
      <w:keepNext/>
      <w:keepLines/>
      <w:spacing w:before="40" w:line="278" w:lineRule="auto"/>
      <w:ind w:firstLine="0"/>
      <w:jc w:val="left"/>
      <w:outlineLvl w:val="6"/>
    </w:pPr>
    <w:rPr>
      <w:rFonts w:asciiTheme="minorHAnsi" w:hAnsiTheme="minorHAnsi" w:eastAsiaTheme="majorEastAsia" w:cstheme="majorBidi"/>
      <w:color w:val="595959" w:themeColor="text1" w:themeTint="A6"/>
      <w:kern w:val="2"/>
      <w:sz w:val="24"/>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61"/>
    <w:semiHidden/>
    <w:unhideWhenUsed/>
    <w:qFormat/>
    <w:uiPriority w:val="9"/>
    <w:pPr>
      <w:keepNext/>
      <w:keepLines/>
      <w:spacing w:line="278" w:lineRule="auto"/>
      <w:ind w:firstLine="0"/>
      <w:jc w:val="left"/>
      <w:outlineLvl w:val="7"/>
    </w:pPr>
    <w:rPr>
      <w:rFonts w:asciiTheme="minorHAnsi" w:hAnsiTheme="minorHAnsi" w:eastAsiaTheme="majorEastAsia" w:cstheme="majorBidi"/>
      <w:i/>
      <w:iCs/>
      <w:color w:val="262626" w:themeColor="text1" w:themeTint="D9"/>
      <w:kern w:val="2"/>
      <w:sz w:val="24"/>
      <w:szCs w:val="24"/>
      <w14:textFill>
        <w14:solidFill>
          <w14:schemeClr w14:val="tx1">
            <w14:lumMod w14:val="85000"/>
            <w14:lumOff w14:val="15000"/>
          </w14:schemeClr>
        </w14:solidFill>
      </w14:textFill>
      <w14:ligatures w14:val="standardContextual"/>
    </w:rPr>
  </w:style>
  <w:style w:type="paragraph" w:styleId="10">
    <w:name w:val="heading 9"/>
    <w:basedOn w:val="1"/>
    <w:next w:val="1"/>
    <w:link w:val="62"/>
    <w:semiHidden/>
    <w:unhideWhenUsed/>
    <w:qFormat/>
    <w:uiPriority w:val="9"/>
    <w:pPr>
      <w:keepNext/>
      <w:keepLines/>
      <w:spacing w:line="278" w:lineRule="auto"/>
      <w:ind w:firstLine="0"/>
      <w:jc w:val="left"/>
      <w:outlineLvl w:val="8"/>
    </w:pPr>
    <w:rPr>
      <w:rFonts w:asciiTheme="minorHAnsi" w:hAnsiTheme="minorHAnsi" w:eastAsiaTheme="majorEastAsia" w:cstheme="majorBidi"/>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44"/>
    <w:semiHidden/>
    <w:unhideWhenUsed/>
    <w:uiPriority w:val="99"/>
    <w:pPr>
      <w:spacing w:line="240" w:lineRule="auto"/>
    </w:pPr>
    <w:rPr>
      <w:rFonts w:ascii="Tahoma" w:hAnsi="Tahoma" w:cs="Tahoma"/>
      <w:sz w:val="16"/>
      <w:szCs w:val="16"/>
    </w:rPr>
  </w:style>
  <w:style w:type="paragraph" w:styleId="14">
    <w:name w:val="caption"/>
    <w:basedOn w:val="1"/>
    <w:next w:val="1"/>
    <w:link w:val="54"/>
    <w:autoRedefine/>
    <w:qFormat/>
    <w:uiPriority w:val="35"/>
    <w:pPr>
      <w:keepNext/>
      <w:spacing w:line="240" w:lineRule="auto"/>
      <w:jc w:val="center"/>
    </w:pPr>
    <w:rPr>
      <w:rFonts w:eastAsia="SimSun" w:cs="Arial"/>
      <w:b/>
      <w:caps/>
      <w:color w:val="44546A" w:themeColor="text2"/>
      <w:szCs w:val="20"/>
      <w:lang w:val="ro-RO"/>
      <w14:textFill>
        <w14:solidFill>
          <w14:schemeClr w14:val="tx2"/>
        </w14:solidFill>
      </w14:textFill>
    </w:rPr>
  </w:style>
  <w:style w:type="character" w:styleId="15">
    <w:name w:val="annotation reference"/>
    <w:basedOn w:val="11"/>
    <w:semiHidden/>
    <w:unhideWhenUsed/>
    <w:uiPriority w:val="99"/>
    <w:rPr>
      <w:sz w:val="16"/>
      <w:szCs w:val="16"/>
    </w:rPr>
  </w:style>
  <w:style w:type="paragraph" w:styleId="16">
    <w:name w:val="annotation text"/>
    <w:basedOn w:val="1"/>
    <w:link w:val="72"/>
    <w:semiHidden/>
    <w:unhideWhenUsed/>
    <w:uiPriority w:val="99"/>
    <w:pPr>
      <w:spacing w:line="240" w:lineRule="auto"/>
    </w:pPr>
    <w:rPr>
      <w:szCs w:val="20"/>
    </w:rPr>
  </w:style>
  <w:style w:type="paragraph" w:styleId="17">
    <w:name w:val="annotation subject"/>
    <w:basedOn w:val="16"/>
    <w:next w:val="16"/>
    <w:link w:val="73"/>
    <w:semiHidden/>
    <w:unhideWhenUsed/>
    <w:uiPriority w:val="99"/>
    <w:rPr>
      <w:b/>
      <w:bCs/>
    </w:rPr>
  </w:style>
  <w:style w:type="character" w:styleId="18">
    <w:name w:val="FollowedHyperlink"/>
    <w:basedOn w:val="11"/>
    <w:semiHidden/>
    <w:unhideWhenUsed/>
    <w:uiPriority w:val="99"/>
    <w:rPr>
      <w:color w:val="954F72" w:themeColor="followedHyperlink"/>
      <w:u w:val="single"/>
      <w14:textFill>
        <w14:solidFill>
          <w14:schemeClr w14:val="folHlink"/>
        </w14:solidFill>
      </w14:textFill>
    </w:rPr>
  </w:style>
  <w:style w:type="paragraph" w:styleId="19">
    <w:name w:val="footer"/>
    <w:basedOn w:val="1"/>
    <w:link w:val="39"/>
    <w:unhideWhenUsed/>
    <w:uiPriority w:val="99"/>
    <w:pPr>
      <w:tabs>
        <w:tab w:val="center" w:pos="4680"/>
        <w:tab w:val="right" w:pos="9360"/>
      </w:tabs>
      <w:spacing w:line="240" w:lineRule="auto"/>
    </w:pPr>
  </w:style>
  <w:style w:type="character" w:styleId="20">
    <w:name w:val="footnote reference"/>
    <w:basedOn w:val="11"/>
    <w:link w:val="21"/>
    <w:qFormat/>
    <w:uiPriority w:val="99"/>
    <w:rPr>
      <w:vertAlign w:val="superscript"/>
    </w:rPr>
  </w:style>
  <w:style w:type="paragraph" w:customStyle="1" w:styleId="21">
    <w:name w:val="BVI fnr Char1 Char"/>
    <w:basedOn w:val="1"/>
    <w:next w:val="1"/>
    <w:link w:val="20"/>
    <w:qFormat/>
    <w:uiPriority w:val="99"/>
    <w:pPr>
      <w:spacing w:after="160" w:line="240" w:lineRule="exact"/>
      <w:jc w:val="left"/>
    </w:pPr>
    <w:rPr>
      <w:rFonts w:asciiTheme="minorHAnsi" w:hAnsiTheme="minorHAnsi"/>
      <w:sz w:val="22"/>
      <w:vertAlign w:val="superscript"/>
    </w:rPr>
  </w:style>
  <w:style w:type="paragraph" w:styleId="22">
    <w:name w:val="footnote text"/>
    <w:basedOn w:val="1"/>
    <w:link w:val="56"/>
    <w:qFormat/>
    <w:uiPriority w:val="99"/>
    <w:pPr>
      <w:spacing w:line="240" w:lineRule="auto"/>
    </w:pPr>
    <w:rPr>
      <w:rFonts w:eastAsia="SimSun" w:cs="Cambria" w:asciiTheme="minorHAnsi" w:hAnsiTheme="minorHAnsi"/>
      <w:sz w:val="18"/>
      <w:szCs w:val="20"/>
      <w:lang w:val="lt-LT"/>
    </w:rPr>
  </w:style>
  <w:style w:type="paragraph" w:styleId="23">
    <w:name w:val="header"/>
    <w:basedOn w:val="1"/>
    <w:link w:val="38"/>
    <w:unhideWhenUsed/>
    <w:uiPriority w:val="99"/>
    <w:pPr>
      <w:tabs>
        <w:tab w:val="center" w:pos="4680"/>
        <w:tab w:val="right" w:pos="9360"/>
      </w:tabs>
      <w:spacing w:line="240" w:lineRule="auto"/>
    </w:pPr>
  </w:style>
  <w:style w:type="character" w:styleId="24">
    <w:name w:val="Hyperlink"/>
    <w:basedOn w:val="11"/>
    <w:unhideWhenUsed/>
    <w:uiPriority w:val="99"/>
    <w:rPr>
      <w:color w:val="0563C1" w:themeColor="hyperlink"/>
      <w:u w:val="single"/>
      <w14:textFill>
        <w14:solidFill>
          <w14:schemeClr w14:val="hlink"/>
        </w14:solidFill>
      </w14:textFill>
    </w:rPr>
  </w:style>
  <w:style w:type="paragraph" w:styleId="25">
    <w:name w:val="Subtitle"/>
    <w:basedOn w:val="1"/>
    <w:next w:val="1"/>
    <w:link w:val="64"/>
    <w:qFormat/>
    <w:uiPriority w:val="11"/>
    <w:pPr>
      <w:spacing w:after="160" w:line="278" w:lineRule="auto"/>
      <w:ind w:firstLine="720"/>
      <w:jc w:val="left"/>
    </w:pPr>
    <w:rPr>
      <w:rFonts w:asciiTheme="minorHAnsi" w:hAnsiTheme="min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table" w:styleId="2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
    <w:name w:val="Title"/>
    <w:basedOn w:val="1"/>
    <w:next w:val="1"/>
    <w:link w:val="63"/>
    <w:qFormat/>
    <w:uiPriority w:val="10"/>
    <w:pPr>
      <w:spacing w:after="80" w:line="240" w:lineRule="auto"/>
      <w:ind w:firstLine="0"/>
      <w:contextualSpacing/>
      <w:jc w:val="left"/>
    </w:pPr>
    <w:rPr>
      <w:rFonts w:asciiTheme="majorHAnsi" w:hAnsiTheme="majorHAnsi" w:eastAsiaTheme="majorEastAsia" w:cstheme="majorBidi"/>
      <w:spacing w:val="-10"/>
      <w:kern w:val="28"/>
      <w:sz w:val="56"/>
      <w:szCs w:val="56"/>
      <w14:ligatures w14:val="standardContextual"/>
    </w:rPr>
  </w:style>
  <w:style w:type="paragraph" w:styleId="28">
    <w:name w:val="toc 1"/>
    <w:basedOn w:val="1"/>
    <w:next w:val="1"/>
    <w:autoRedefine/>
    <w:unhideWhenUsed/>
    <w:uiPriority w:val="39"/>
    <w:pPr>
      <w:spacing w:after="100"/>
    </w:pPr>
  </w:style>
  <w:style w:type="paragraph" w:styleId="29">
    <w:name w:val="toc 2"/>
    <w:basedOn w:val="1"/>
    <w:next w:val="1"/>
    <w:autoRedefine/>
    <w:unhideWhenUsed/>
    <w:uiPriority w:val="39"/>
    <w:pPr>
      <w:spacing w:after="100"/>
      <w:ind w:left="240"/>
    </w:pPr>
  </w:style>
  <w:style w:type="paragraph" w:styleId="30">
    <w:name w:val="toc 3"/>
    <w:basedOn w:val="1"/>
    <w:next w:val="1"/>
    <w:autoRedefine/>
    <w:unhideWhenUsed/>
    <w:uiPriority w:val="39"/>
    <w:pPr>
      <w:spacing w:after="100"/>
      <w:ind w:left="480"/>
    </w:pPr>
  </w:style>
  <w:style w:type="paragraph" w:styleId="31">
    <w:name w:val="toc 4"/>
    <w:basedOn w:val="1"/>
    <w:next w:val="1"/>
    <w:autoRedefine/>
    <w:unhideWhenUsed/>
    <w:uiPriority w:val="39"/>
    <w:pPr>
      <w:spacing w:after="100" w:line="259" w:lineRule="auto"/>
      <w:ind w:left="660" w:firstLine="0"/>
      <w:jc w:val="left"/>
    </w:pPr>
    <w:rPr>
      <w:rFonts w:asciiTheme="minorHAnsi" w:hAnsiTheme="minorHAnsi" w:eastAsiaTheme="minorEastAsia"/>
      <w:kern w:val="2"/>
      <w:sz w:val="22"/>
      <w:lang w:val="ro-RO" w:eastAsia="ro-RO"/>
      <w14:ligatures w14:val="standardContextual"/>
    </w:rPr>
  </w:style>
  <w:style w:type="paragraph" w:styleId="32">
    <w:name w:val="toc 5"/>
    <w:basedOn w:val="1"/>
    <w:next w:val="1"/>
    <w:autoRedefine/>
    <w:unhideWhenUsed/>
    <w:uiPriority w:val="39"/>
    <w:pPr>
      <w:spacing w:after="100" w:line="259" w:lineRule="auto"/>
      <w:ind w:left="880" w:firstLine="0"/>
      <w:jc w:val="left"/>
    </w:pPr>
    <w:rPr>
      <w:rFonts w:asciiTheme="minorHAnsi" w:hAnsiTheme="minorHAnsi" w:eastAsiaTheme="minorEastAsia"/>
      <w:kern w:val="2"/>
      <w:sz w:val="22"/>
      <w:lang w:val="ro-RO" w:eastAsia="ro-RO"/>
      <w14:ligatures w14:val="standardContextual"/>
    </w:rPr>
  </w:style>
  <w:style w:type="paragraph" w:styleId="33">
    <w:name w:val="toc 6"/>
    <w:basedOn w:val="1"/>
    <w:next w:val="1"/>
    <w:autoRedefine/>
    <w:unhideWhenUsed/>
    <w:uiPriority w:val="39"/>
    <w:pPr>
      <w:spacing w:after="100" w:line="259" w:lineRule="auto"/>
      <w:ind w:left="1100" w:firstLine="0"/>
      <w:jc w:val="left"/>
    </w:pPr>
    <w:rPr>
      <w:rFonts w:asciiTheme="minorHAnsi" w:hAnsiTheme="minorHAnsi" w:eastAsiaTheme="minorEastAsia"/>
      <w:kern w:val="2"/>
      <w:sz w:val="22"/>
      <w:lang w:val="ro-RO" w:eastAsia="ro-RO"/>
      <w14:ligatures w14:val="standardContextual"/>
    </w:rPr>
  </w:style>
  <w:style w:type="paragraph" w:styleId="34">
    <w:name w:val="toc 7"/>
    <w:basedOn w:val="1"/>
    <w:next w:val="1"/>
    <w:autoRedefine/>
    <w:unhideWhenUsed/>
    <w:uiPriority w:val="39"/>
    <w:pPr>
      <w:spacing w:after="100" w:line="259" w:lineRule="auto"/>
      <w:ind w:left="1320" w:firstLine="0"/>
      <w:jc w:val="left"/>
    </w:pPr>
    <w:rPr>
      <w:rFonts w:asciiTheme="minorHAnsi" w:hAnsiTheme="minorHAnsi" w:eastAsiaTheme="minorEastAsia"/>
      <w:kern w:val="2"/>
      <w:sz w:val="22"/>
      <w:lang w:val="ro-RO" w:eastAsia="ro-RO"/>
      <w14:ligatures w14:val="standardContextual"/>
    </w:rPr>
  </w:style>
  <w:style w:type="paragraph" w:styleId="35">
    <w:name w:val="toc 8"/>
    <w:basedOn w:val="1"/>
    <w:next w:val="1"/>
    <w:autoRedefine/>
    <w:unhideWhenUsed/>
    <w:uiPriority w:val="39"/>
    <w:pPr>
      <w:spacing w:after="100" w:line="259" w:lineRule="auto"/>
      <w:ind w:left="1540" w:firstLine="0"/>
      <w:jc w:val="left"/>
    </w:pPr>
    <w:rPr>
      <w:rFonts w:asciiTheme="minorHAnsi" w:hAnsiTheme="minorHAnsi" w:eastAsiaTheme="minorEastAsia"/>
      <w:kern w:val="2"/>
      <w:sz w:val="22"/>
      <w:lang w:val="ro-RO" w:eastAsia="ro-RO"/>
      <w14:ligatures w14:val="standardContextual"/>
    </w:rPr>
  </w:style>
  <w:style w:type="paragraph" w:styleId="36">
    <w:name w:val="toc 9"/>
    <w:basedOn w:val="1"/>
    <w:next w:val="1"/>
    <w:autoRedefine/>
    <w:unhideWhenUsed/>
    <w:uiPriority w:val="39"/>
    <w:pPr>
      <w:spacing w:after="100" w:line="259" w:lineRule="auto"/>
      <w:ind w:left="1760" w:firstLine="0"/>
      <w:jc w:val="left"/>
    </w:pPr>
    <w:rPr>
      <w:rFonts w:asciiTheme="minorHAnsi" w:hAnsiTheme="minorHAnsi" w:eastAsiaTheme="minorEastAsia"/>
      <w:kern w:val="2"/>
      <w:sz w:val="22"/>
      <w:lang w:val="ro-RO" w:eastAsia="ro-RO"/>
      <w14:ligatures w14:val="standardContextual"/>
    </w:rPr>
  </w:style>
  <w:style w:type="paragraph" w:styleId="37">
    <w:name w:val="List Paragraph"/>
    <w:basedOn w:val="1"/>
    <w:link w:val="51"/>
    <w:qFormat/>
    <w:uiPriority w:val="34"/>
    <w:pPr>
      <w:ind w:left="720"/>
      <w:contextualSpacing/>
    </w:pPr>
  </w:style>
  <w:style w:type="character" w:customStyle="1" w:styleId="38">
    <w:name w:val="Header Char"/>
    <w:basedOn w:val="11"/>
    <w:link w:val="23"/>
    <w:uiPriority w:val="99"/>
  </w:style>
  <w:style w:type="character" w:customStyle="1" w:styleId="39">
    <w:name w:val="Footer Char"/>
    <w:basedOn w:val="11"/>
    <w:link w:val="19"/>
    <w:uiPriority w:val="99"/>
  </w:style>
  <w:style w:type="character" w:customStyle="1" w:styleId="40">
    <w:name w:val="Mențiune Nerezolvat1"/>
    <w:basedOn w:val="11"/>
    <w:semiHidden/>
    <w:unhideWhenUsed/>
    <w:uiPriority w:val="99"/>
    <w:rPr>
      <w:color w:val="605E5C"/>
      <w:shd w:val="clear" w:color="auto" w:fill="E1DFDD"/>
    </w:rPr>
  </w:style>
  <w:style w:type="table" w:customStyle="1" w:styleId="41">
    <w:name w:val="Tabel grilă1"/>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Default"/>
    <w:uiPriority w:val="0"/>
    <w:pPr>
      <w:autoSpaceDE w:val="0"/>
      <w:autoSpaceDN w:val="0"/>
      <w:adjustRightInd w:val="0"/>
      <w:spacing w:after="0" w:line="240" w:lineRule="auto"/>
    </w:pPr>
    <w:rPr>
      <w:rFonts w:ascii="Arial" w:hAnsi="Arial" w:cs="Arial" w:eastAsiaTheme="minorHAnsi"/>
      <w:color w:val="000000"/>
      <w:sz w:val="24"/>
      <w:szCs w:val="24"/>
      <w:lang w:val="en-US" w:eastAsia="en-US" w:bidi="ar-SA"/>
    </w:rPr>
  </w:style>
  <w:style w:type="table" w:customStyle="1" w:styleId="43">
    <w:name w:val="Tabel grilă2"/>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4">
    <w:name w:val="Balloon Text Char"/>
    <w:basedOn w:val="11"/>
    <w:link w:val="13"/>
    <w:semiHidden/>
    <w:uiPriority w:val="99"/>
    <w:rPr>
      <w:rFonts w:ascii="Tahoma" w:hAnsi="Tahoma" w:cs="Tahoma"/>
      <w:sz w:val="16"/>
      <w:szCs w:val="16"/>
    </w:rPr>
  </w:style>
  <w:style w:type="character" w:customStyle="1" w:styleId="45">
    <w:name w:val="Heading 2 Char"/>
    <w:basedOn w:val="11"/>
    <w:link w:val="3"/>
    <w:uiPriority w:val="9"/>
    <w:rPr>
      <w:rFonts w:ascii="Arial" w:hAnsi="Arial" w:eastAsiaTheme="majorEastAsia" w:cstheme="majorBidi"/>
      <w:b/>
      <w:color w:val="2F5597" w:themeColor="accent1" w:themeShade="BF"/>
      <w:sz w:val="26"/>
      <w:szCs w:val="26"/>
    </w:rPr>
  </w:style>
  <w:style w:type="character" w:customStyle="1" w:styleId="46">
    <w:name w:val="Heading 3 Char"/>
    <w:basedOn w:val="11"/>
    <w:link w:val="4"/>
    <w:uiPriority w:val="9"/>
    <w:rPr>
      <w:rFonts w:ascii="Arial" w:hAnsi="Arial" w:eastAsiaTheme="majorEastAsia" w:cstheme="majorBidi"/>
      <w:color w:val="203864" w:themeColor="accent1" w:themeShade="80"/>
      <w:sz w:val="24"/>
      <w:szCs w:val="24"/>
    </w:rPr>
  </w:style>
  <w:style w:type="character" w:customStyle="1" w:styleId="47">
    <w:name w:val="Heading 4 Char"/>
    <w:basedOn w:val="11"/>
    <w:link w:val="5"/>
    <w:uiPriority w:val="9"/>
    <w:rPr>
      <w:rFonts w:asciiTheme="majorHAnsi" w:hAnsiTheme="majorHAnsi" w:eastAsiaTheme="majorEastAsia" w:cstheme="majorBidi"/>
      <w:i/>
      <w:iCs/>
      <w:color w:val="2F5597" w:themeColor="accent1" w:themeShade="BF"/>
    </w:rPr>
  </w:style>
  <w:style w:type="character" w:customStyle="1" w:styleId="48">
    <w:name w:val="Heading 5 Char"/>
    <w:basedOn w:val="11"/>
    <w:link w:val="6"/>
    <w:uiPriority w:val="9"/>
    <w:rPr>
      <w:rFonts w:asciiTheme="majorHAnsi" w:hAnsiTheme="majorHAnsi" w:eastAsiaTheme="majorEastAsia" w:cstheme="majorBidi"/>
      <w:color w:val="2F5597" w:themeColor="accent1" w:themeShade="BF"/>
      <w:sz w:val="24"/>
    </w:rPr>
  </w:style>
  <w:style w:type="character" w:customStyle="1" w:styleId="49">
    <w:name w:val="Heading 1 Char"/>
    <w:basedOn w:val="11"/>
    <w:link w:val="2"/>
    <w:uiPriority w:val="9"/>
    <w:rPr>
      <w:rFonts w:asciiTheme="majorHAnsi" w:hAnsiTheme="majorHAnsi" w:eastAsiaTheme="majorEastAsia" w:cstheme="majorBidi"/>
      <w:color w:val="2F5597" w:themeColor="accent1" w:themeShade="BF"/>
      <w:sz w:val="32"/>
      <w:szCs w:val="32"/>
    </w:rPr>
  </w:style>
  <w:style w:type="paragraph" w:customStyle="1" w:styleId="50">
    <w:name w:val="TOC Heading"/>
    <w:basedOn w:val="2"/>
    <w:next w:val="1"/>
    <w:unhideWhenUsed/>
    <w:qFormat/>
    <w:uiPriority w:val="39"/>
    <w:pPr>
      <w:spacing w:line="259" w:lineRule="auto"/>
      <w:jc w:val="left"/>
      <w:outlineLvl w:val="9"/>
    </w:pPr>
  </w:style>
  <w:style w:type="character" w:customStyle="1" w:styleId="51">
    <w:name w:val="List Paragraph Char"/>
    <w:basedOn w:val="11"/>
    <w:link w:val="37"/>
    <w:qFormat/>
    <w:locked/>
    <w:uiPriority w:val="34"/>
    <w:rPr>
      <w:rFonts w:ascii="Arial" w:hAnsi="Arial"/>
      <w:sz w:val="24"/>
    </w:rPr>
  </w:style>
  <w:style w:type="paragraph" w:customStyle="1" w:styleId="52">
    <w:name w:val="*Normal"/>
    <w:basedOn w:val="1"/>
    <w:link w:val="53"/>
    <w:qFormat/>
    <w:uiPriority w:val="0"/>
    <w:pPr>
      <w:spacing w:after="120" w:line="240" w:lineRule="auto"/>
    </w:pPr>
    <w:rPr>
      <w:rFonts w:ascii="Calibri" w:hAnsi="Calibri" w:eastAsia="Times New Roman" w:cs="Times New Roman"/>
      <w:bCs/>
      <w:sz w:val="22"/>
      <w:szCs w:val="24"/>
    </w:rPr>
  </w:style>
  <w:style w:type="character" w:customStyle="1" w:styleId="53">
    <w:name w:val="*Normal Char"/>
    <w:link w:val="52"/>
    <w:qFormat/>
    <w:locked/>
    <w:uiPriority w:val="0"/>
    <w:rPr>
      <w:rFonts w:ascii="Calibri" w:hAnsi="Calibri" w:eastAsia="Times New Roman" w:cs="Times New Roman"/>
      <w:bCs/>
      <w:szCs w:val="24"/>
    </w:rPr>
  </w:style>
  <w:style w:type="character" w:customStyle="1" w:styleId="54">
    <w:name w:val="Caption Char"/>
    <w:link w:val="14"/>
    <w:locked/>
    <w:uiPriority w:val="35"/>
    <w:rPr>
      <w:rFonts w:ascii="Arial" w:hAnsi="Arial" w:eastAsia="SimSun" w:cs="Arial"/>
      <w:b/>
      <w:caps/>
      <w:color w:val="44546A" w:themeColor="text2"/>
      <w:sz w:val="20"/>
      <w:szCs w:val="20"/>
      <w:lang w:val="ro-RO"/>
      <w14:textFill>
        <w14:solidFill>
          <w14:schemeClr w14:val="tx2"/>
        </w14:solidFill>
      </w14:textFill>
    </w:rPr>
  </w:style>
  <w:style w:type="table" w:customStyle="1" w:styleId="55">
    <w:name w:val="Civitta table"/>
    <w:basedOn w:val="12"/>
    <w:uiPriority w:val="99"/>
    <w:pPr>
      <w:spacing w:before="60" w:after="60" w:line="240" w:lineRule="auto"/>
    </w:pPr>
    <w:rPr>
      <w:rFonts w:eastAsia="SimSun" w:cs="Cambria"/>
      <w:sz w:val="20"/>
      <w:lang w:val="lt-LT"/>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pPr>
        <w:wordWrap/>
        <w:spacing w:before="60" w:beforeLines="0" w:beforeAutospacing="0" w:after="60" w:afterLines="0" w:afterAutospacing="0"/>
        <w:jc w:val="left"/>
      </w:pPr>
      <w:rPr>
        <w:rFonts w:asciiTheme="minorHAnsi" w:hAnsiTheme="minorHAnsi"/>
        <w:caps/>
        <w:smallCaps w:val="0"/>
        <w:color w:val="FFFFFF" w:themeColor="background1"/>
        <w:sz w:val="20"/>
        <w14:textFill>
          <w14:solidFill>
            <w14:schemeClr w14:val="bg1"/>
          </w14:solidFill>
        </w14:textFill>
      </w:rPr>
      <w:tblPr/>
      <w:trPr>
        <w:tblHeader/>
      </w:trPr>
      <w:tcPr>
        <w:shd w:val="clear" w:color="auto" w:fill="44546A" w:themeFill="text2"/>
      </w:tcPr>
    </w:tblStylePr>
    <w:tblStylePr w:type="band1Horz">
      <w:tcPr>
        <w:shd w:val="clear" w:color="auto" w:fill="F1F1F1" w:themeFill="background1" w:themeFillShade="F2"/>
      </w:tcPr>
    </w:tblStylePr>
    <w:tblStylePr w:type="band2Horz">
      <w:tcPr>
        <w:shd w:val="clear" w:color="auto" w:fill="F1F1F1" w:themeFill="background1" w:themeFillShade="F2"/>
      </w:tcPr>
    </w:tblStylePr>
  </w:style>
  <w:style w:type="character" w:customStyle="1" w:styleId="56">
    <w:name w:val="Footnote Text Char"/>
    <w:basedOn w:val="11"/>
    <w:link w:val="22"/>
    <w:qFormat/>
    <w:uiPriority w:val="99"/>
    <w:rPr>
      <w:rFonts w:eastAsia="SimSun" w:cs="Cambria"/>
      <w:sz w:val="18"/>
      <w:szCs w:val="20"/>
      <w:lang w:val="lt-LT"/>
    </w:rPr>
  </w:style>
  <w:style w:type="paragraph" w:customStyle="1" w:styleId="57">
    <w:name w:val="Single Cell"/>
    <w:basedOn w:val="1"/>
    <w:link w:val="58"/>
    <w:qFormat/>
    <w:uiPriority w:val="0"/>
    <w:pPr>
      <w:keepNext/>
      <w:spacing w:after="120" w:line="240" w:lineRule="auto"/>
    </w:pPr>
    <w:rPr>
      <w:rFonts w:eastAsia="SimSun" w:cs="Cambria" w:asciiTheme="minorHAnsi" w:hAnsiTheme="minorHAnsi"/>
      <w:b/>
      <w:caps/>
      <w:color w:val="4472C4" w:themeColor="accent1"/>
      <w:sz w:val="22"/>
      <w:lang w:eastAsia="ja-JP"/>
      <w14:textFill>
        <w14:solidFill>
          <w14:schemeClr w14:val="accent1"/>
        </w14:solidFill>
      </w14:textFill>
    </w:rPr>
  </w:style>
  <w:style w:type="character" w:customStyle="1" w:styleId="58">
    <w:name w:val="Single Cell Char"/>
    <w:basedOn w:val="11"/>
    <w:link w:val="57"/>
    <w:qFormat/>
    <w:uiPriority w:val="0"/>
    <w:rPr>
      <w:rFonts w:eastAsia="SimSun" w:cs="Cambria"/>
      <w:b/>
      <w:caps/>
      <w:color w:val="4472C4" w:themeColor="accent1"/>
      <w:lang w:eastAsia="ja-JP"/>
      <w14:textFill>
        <w14:solidFill>
          <w14:schemeClr w14:val="accent1"/>
        </w14:solidFill>
      </w14:textFill>
    </w:rPr>
  </w:style>
  <w:style w:type="character" w:customStyle="1" w:styleId="59">
    <w:name w:val="Heading 6 Char"/>
    <w:basedOn w:val="11"/>
    <w:link w:val="7"/>
    <w:semiHidden/>
    <w:uiPriority w:val="9"/>
    <w:rPr>
      <w:rFonts w:eastAsiaTheme="majorEastAsia" w:cstheme="majorBidi"/>
      <w:i/>
      <w:iCs/>
      <w:color w:val="595959" w:themeColor="text1" w:themeTint="A6"/>
      <w:kern w:val="2"/>
      <w:sz w:val="24"/>
      <w:szCs w:val="24"/>
      <w14:textFill>
        <w14:solidFill>
          <w14:schemeClr w14:val="tx1">
            <w14:lumMod w14:val="65000"/>
            <w14:lumOff w14:val="35000"/>
          </w14:schemeClr>
        </w14:solidFill>
      </w14:textFill>
      <w14:ligatures w14:val="standardContextual"/>
    </w:rPr>
  </w:style>
  <w:style w:type="character" w:customStyle="1" w:styleId="60">
    <w:name w:val="Heading 7 Char"/>
    <w:basedOn w:val="11"/>
    <w:link w:val="8"/>
    <w:semiHidden/>
    <w:uiPriority w:val="9"/>
    <w:rPr>
      <w:rFonts w:eastAsiaTheme="majorEastAsia" w:cstheme="majorBidi"/>
      <w:color w:val="595959" w:themeColor="text1" w:themeTint="A6"/>
      <w:kern w:val="2"/>
      <w:sz w:val="24"/>
      <w:szCs w:val="24"/>
      <w14:textFill>
        <w14:solidFill>
          <w14:schemeClr w14:val="tx1">
            <w14:lumMod w14:val="65000"/>
            <w14:lumOff w14:val="35000"/>
          </w14:schemeClr>
        </w14:solidFill>
      </w14:textFill>
      <w14:ligatures w14:val="standardContextual"/>
    </w:rPr>
  </w:style>
  <w:style w:type="character" w:customStyle="1" w:styleId="61">
    <w:name w:val="Heading 8 Char"/>
    <w:basedOn w:val="11"/>
    <w:link w:val="9"/>
    <w:semiHidden/>
    <w:uiPriority w:val="9"/>
    <w:rPr>
      <w:rFonts w:eastAsiaTheme="majorEastAsia" w:cstheme="majorBidi"/>
      <w:i/>
      <w:iCs/>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customStyle="1" w:styleId="62">
    <w:name w:val="Heading 9 Char"/>
    <w:basedOn w:val="11"/>
    <w:link w:val="10"/>
    <w:semiHidden/>
    <w:uiPriority w:val="9"/>
    <w:rPr>
      <w:rFonts w:eastAsiaTheme="majorEastAsia" w:cstheme="majorBidi"/>
      <w:color w:val="262626" w:themeColor="text1" w:themeTint="D9"/>
      <w:kern w:val="2"/>
      <w:sz w:val="24"/>
      <w:szCs w:val="24"/>
      <w14:textFill>
        <w14:solidFill>
          <w14:schemeClr w14:val="tx1">
            <w14:lumMod w14:val="85000"/>
            <w14:lumOff w14:val="15000"/>
          </w14:schemeClr>
        </w14:solidFill>
      </w14:textFill>
      <w14:ligatures w14:val="standardContextual"/>
    </w:rPr>
  </w:style>
  <w:style w:type="character" w:customStyle="1" w:styleId="63">
    <w:name w:val="Title Char"/>
    <w:basedOn w:val="11"/>
    <w:link w:val="27"/>
    <w:uiPriority w:val="10"/>
    <w:rPr>
      <w:rFonts w:asciiTheme="majorHAnsi" w:hAnsiTheme="majorHAnsi" w:eastAsiaTheme="majorEastAsia" w:cstheme="majorBidi"/>
      <w:spacing w:val="-10"/>
      <w:kern w:val="28"/>
      <w:sz w:val="56"/>
      <w:szCs w:val="56"/>
      <w14:ligatures w14:val="standardContextual"/>
    </w:rPr>
  </w:style>
  <w:style w:type="character" w:customStyle="1" w:styleId="64">
    <w:name w:val="Subtitle Char"/>
    <w:basedOn w:val="11"/>
    <w:link w:val="25"/>
    <w:uiPriority w:val="11"/>
    <w:rPr>
      <w:rFonts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65">
    <w:name w:val="Quote"/>
    <w:basedOn w:val="1"/>
    <w:next w:val="1"/>
    <w:link w:val="66"/>
    <w:qFormat/>
    <w:uiPriority w:val="29"/>
    <w:pPr>
      <w:spacing w:before="160" w:after="160" w:line="278" w:lineRule="auto"/>
      <w:ind w:firstLine="0"/>
      <w:jc w:val="center"/>
    </w:pPr>
    <w:rPr>
      <w:rFonts w:asciiTheme="minorHAnsi" w:hAnsiTheme="minorHAnsi"/>
      <w:i/>
      <w:iCs/>
      <w:color w:val="404040" w:themeColor="text1" w:themeTint="BF"/>
      <w:kern w:val="2"/>
      <w:sz w:val="24"/>
      <w:szCs w:val="24"/>
      <w14:textFill>
        <w14:solidFill>
          <w14:schemeClr w14:val="tx1">
            <w14:lumMod w14:val="75000"/>
            <w14:lumOff w14:val="25000"/>
          </w14:schemeClr>
        </w14:solidFill>
      </w14:textFill>
      <w14:ligatures w14:val="standardContextual"/>
    </w:rPr>
  </w:style>
  <w:style w:type="character" w:customStyle="1" w:styleId="66">
    <w:name w:val="Quote Char"/>
    <w:basedOn w:val="11"/>
    <w:link w:val="65"/>
    <w:uiPriority w:val="29"/>
    <w:rPr>
      <w:i/>
      <w:iCs/>
      <w:color w:val="404040" w:themeColor="text1" w:themeTint="BF"/>
      <w:kern w:val="2"/>
      <w:sz w:val="24"/>
      <w:szCs w:val="24"/>
      <w14:textFill>
        <w14:solidFill>
          <w14:schemeClr w14:val="tx1">
            <w14:lumMod w14:val="75000"/>
            <w14:lumOff w14:val="25000"/>
          </w14:schemeClr>
        </w14:solidFill>
      </w14:textFill>
      <w14:ligatures w14:val="standardContextual"/>
    </w:rPr>
  </w:style>
  <w:style w:type="character" w:customStyle="1" w:styleId="67">
    <w:name w:val="Intense Emphasis"/>
    <w:basedOn w:val="11"/>
    <w:qFormat/>
    <w:uiPriority w:val="21"/>
    <w:rPr>
      <w:i/>
      <w:iCs/>
      <w:color w:val="2F5597" w:themeColor="accent1" w:themeShade="BF"/>
    </w:rPr>
  </w:style>
  <w:style w:type="paragraph" w:styleId="68">
    <w:name w:val="Intense Quote"/>
    <w:basedOn w:val="1"/>
    <w:next w:val="1"/>
    <w:link w:val="69"/>
    <w:qFormat/>
    <w:uiPriority w:val="30"/>
    <w:pPr>
      <w:pBdr>
        <w:top w:val="single" w:color="2F5496" w:themeColor="accent1" w:themeShade="BF" w:sz="4" w:space="10"/>
        <w:bottom w:val="single" w:color="2F5496" w:themeColor="accent1" w:themeShade="BF" w:sz="4" w:space="10"/>
      </w:pBdr>
      <w:spacing w:before="360" w:after="360" w:line="278" w:lineRule="auto"/>
      <w:ind w:left="864" w:right="864" w:firstLine="0"/>
      <w:jc w:val="center"/>
    </w:pPr>
    <w:rPr>
      <w:rFonts w:asciiTheme="minorHAnsi" w:hAnsiTheme="minorHAnsi"/>
      <w:i/>
      <w:iCs/>
      <w:color w:val="2F5597" w:themeColor="accent1" w:themeShade="BF"/>
      <w:kern w:val="2"/>
      <w:sz w:val="24"/>
      <w:szCs w:val="24"/>
      <w14:ligatures w14:val="standardContextual"/>
    </w:rPr>
  </w:style>
  <w:style w:type="character" w:customStyle="1" w:styleId="69">
    <w:name w:val="Intense Quote Char"/>
    <w:basedOn w:val="11"/>
    <w:link w:val="68"/>
    <w:uiPriority w:val="30"/>
    <w:rPr>
      <w:i/>
      <w:iCs/>
      <w:color w:val="2F5597" w:themeColor="accent1" w:themeShade="BF"/>
      <w:kern w:val="2"/>
      <w:sz w:val="24"/>
      <w:szCs w:val="24"/>
      <w14:ligatures w14:val="standardContextual"/>
    </w:rPr>
  </w:style>
  <w:style w:type="character" w:customStyle="1" w:styleId="70">
    <w:name w:val="Intense Reference"/>
    <w:basedOn w:val="11"/>
    <w:qFormat/>
    <w:uiPriority w:val="32"/>
    <w:rPr>
      <w:b/>
      <w:bCs/>
      <w:smallCaps/>
      <w:color w:val="2F5597" w:themeColor="accent1" w:themeShade="BF"/>
      <w:spacing w:val="5"/>
    </w:rPr>
  </w:style>
  <w:style w:type="character" w:customStyle="1" w:styleId="71">
    <w:name w:val="Unresolved Mention"/>
    <w:basedOn w:val="11"/>
    <w:semiHidden/>
    <w:unhideWhenUsed/>
    <w:uiPriority w:val="99"/>
    <w:rPr>
      <w:color w:val="605E5C"/>
      <w:shd w:val="clear" w:color="auto" w:fill="E1DFDD"/>
    </w:rPr>
  </w:style>
  <w:style w:type="character" w:customStyle="1" w:styleId="72">
    <w:name w:val="Comment Text Char"/>
    <w:basedOn w:val="11"/>
    <w:link w:val="16"/>
    <w:semiHidden/>
    <w:uiPriority w:val="99"/>
    <w:rPr>
      <w:rFonts w:ascii="Arial" w:hAnsi="Arial"/>
      <w:sz w:val="20"/>
      <w:szCs w:val="20"/>
    </w:rPr>
  </w:style>
  <w:style w:type="character" w:customStyle="1" w:styleId="73">
    <w:name w:val="Comment Subject Char"/>
    <w:basedOn w:val="72"/>
    <w:link w:val="17"/>
    <w:semiHidden/>
    <w:uiPriority w:val="99"/>
    <w:rPr>
      <w:rFonts w:ascii="Arial" w:hAnsi="Arial"/>
      <w:b/>
      <w:bCs/>
      <w:sz w:val="20"/>
      <w:szCs w:val="20"/>
    </w:rPr>
  </w:style>
  <w:style w:type="table" w:customStyle="1" w:styleId="74">
    <w:name w:val="Table Grid1"/>
    <w:basedOn w:val="12"/>
    <w:uiPriority w:val="39"/>
    <w:pPr>
      <w:spacing w:after="0" w:line="240" w:lineRule="auto"/>
      <w:jc w:val="both"/>
    </w:pPr>
    <w:rPr>
      <w:rFonts w:eastAsiaTheme="minorEastAsia"/>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Table Grid2"/>
    <w:basedOn w:val="12"/>
    <w:uiPriority w:val="39"/>
    <w:pPr>
      <w:spacing w:after="0" w:line="240" w:lineRule="auto"/>
      <w:jc w:val="both"/>
    </w:pPr>
    <w:rPr>
      <w:rFonts w:eastAsiaTheme="minorEastAsia"/>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Table Grid3"/>
    <w:basedOn w:val="12"/>
    <w:uiPriority w:val="39"/>
    <w:pPr>
      <w:spacing w:after="0" w:line="240" w:lineRule="auto"/>
      <w:jc w:val="both"/>
    </w:pPr>
    <w:rPr>
      <w:rFonts w:eastAsiaTheme="minorEastAsia"/>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Table Grid4"/>
    <w:basedOn w:val="12"/>
    <w:uiPriority w:val="39"/>
    <w:pPr>
      <w:spacing w:after="0" w:line="240" w:lineRule="auto"/>
      <w:jc w:val="both"/>
    </w:pPr>
    <w:rPr>
      <w:rFonts w:eastAsiaTheme="minorEastAsia"/>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Table Grid5"/>
    <w:basedOn w:val="12"/>
    <w:uiPriority w:val="39"/>
    <w:pPr>
      <w:spacing w:after="0" w:line="240" w:lineRule="auto"/>
      <w:jc w:val="both"/>
    </w:pPr>
    <w:rPr>
      <w:rFonts w:eastAsiaTheme="minorEastAsia"/>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Table Grid6"/>
    <w:basedOn w:val="12"/>
    <w:uiPriority w:val="59"/>
    <w:pPr>
      <w:spacing w:after="0" w:line="240" w:lineRule="auto"/>
    </w:pPr>
    <w:rPr>
      <w:rFonts w:ascii="Cambria" w:hAnsi="Cambria" w:eastAsia="MS Mincho"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p1"/>
    <w:basedOn w:val="1"/>
    <w:uiPriority w:val="0"/>
    <w:pPr>
      <w:spacing w:line="240" w:lineRule="auto"/>
      <w:ind w:firstLine="0"/>
      <w:jc w:val="left"/>
    </w:pPr>
    <w:rPr>
      <w:rFonts w:ascii="Helvetica" w:hAnsi="Helvetica" w:eastAsia="Times New Roman" w:cs="Times New Roman"/>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80"/>
      <c:rotY val="0"/>
      <c:depthPercent val="100"/>
      <c:rAngAx val="0"/>
      <c:perspective val="0"/>
    </c:view3D>
    <c:floor>
      <c:thickness val="0"/>
    </c:floor>
    <c:sideWall>
      <c:thickness val="0"/>
    </c:sideWall>
    <c:backWall>
      <c:thickness val="0"/>
    </c:backWall>
    <c:plotArea>
      <c:layout>
        <c:manualLayout>
          <c:layoutTarget val="inner"/>
          <c:xMode val="edge"/>
          <c:yMode val="edge"/>
          <c:x val="0.0611166911222711"/>
          <c:y val="0.0690669777388938"/>
          <c:w val="0.578174854127486"/>
          <c:h val="0.899463789248566"/>
        </c:manualLayout>
      </c:layout>
      <c:pie3DChart>
        <c:varyColors val="1"/>
        <c:ser>
          <c:idx val="0"/>
          <c:order val="0"/>
          <c:tx>
            <c:strRef>
              <c:f>Sheet1!$A$3</c:f>
              <c:strCache>
                <c:ptCount val="1"/>
                <c:pt idx="0">
                  <c:v>varsta somerilor înregistrați</c:v>
                </c:pt>
              </c:strCache>
            </c:strRef>
          </c:tx>
          <c:spPr>
            <a:solidFill>
              <a:srgbClr val="000080"/>
            </a:solidFill>
            <a:ln w="12700">
              <a:solidFill>
                <a:srgbClr val="000000"/>
              </a:solidFill>
              <a:prstDash val="solid"/>
            </a:ln>
          </c:spPr>
          <c:explosion val="25"/>
          <c:dPt>
            <c:idx val="0"/>
            <c:bubble3D val="0"/>
            <c:spPr>
              <a:solidFill>
                <a:srgbClr val="FFFF99"/>
              </a:solidFill>
              <a:ln w="12700">
                <a:solidFill>
                  <a:srgbClr val="000000"/>
                </a:solidFill>
                <a:prstDash val="solid"/>
              </a:ln>
            </c:spPr>
          </c:dPt>
          <c:dPt>
            <c:idx val="1"/>
            <c:bubble3D val="0"/>
            <c:spPr>
              <a:solidFill>
                <a:srgbClr val="CCFFFF"/>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3366FF"/>
              </a:solidFill>
              <a:ln w="12700">
                <a:solidFill>
                  <a:srgbClr val="000000"/>
                </a:solidFill>
                <a:prstDash val="solid"/>
              </a:ln>
            </c:spPr>
          </c:dPt>
          <c:dPt>
            <c:idx val="4"/>
            <c:bubble3D val="0"/>
            <c:spPr>
              <a:solidFill>
                <a:srgbClr val="339966"/>
              </a:solidFill>
              <a:ln w="12700">
                <a:solidFill>
                  <a:srgbClr val="000000"/>
                </a:solidFill>
                <a:prstDash val="solid"/>
              </a:ln>
            </c:spPr>
          </c:dPt>
          <c:dPt>
            <c:idx val="5"/>
            <c:bubble3D val="0"/>
            <c:spPr>
              <a:solidFill>
                <a:srgbClr val="CC99FF"/>
              </a:solidFill>
              <a:ln w="12700">
                <a:solidFill>
                  <a:srgbClr val="000000"/>
                </a:solidFill>
                <a:prstDash val="solid"/>
              </a:ln>
            </c:spPr>
          </c:dPt>
          <c:dLbls>
            <c:numFmt formatCode="0%" sourceLinked="0"/>
            <c:spPr>
              <a:noFill/>
              <a:ln w="25400">
                <a:noFill/>
              </a:ln>
              <a:effectLst/>
            </c:spPr>
            <c:txPr>
              <a:bodyPr rot="0" spcFirstLastPara="0" vertOverflow="ellipsis" vert="horz" wrap="square" lIns="38100" tIns="19050" rIns="38100" bIns="19050" anchor="ctr" anchorCtr="1"/>
              <a:lstStyle/>
              <a:p>
                <a:pPr>
                  <a:defRPr lang="en-US" sz="1100" b="1" i="0" u="none" strike="noStrike" kern="1200" baseline="0">
                    <a:solidFill>
                      <a:srgbClr val="000000"/>
                    </a:solidFill>
                    <a:latin typeface="Calibri" panose="020F0502020204030204"/>
                    <a:ea typeface="Calibri" panose="020F0502020204030204"/>
                    <a:cs typeface="Calibri" panose="020F0502020204030204"/>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Sheet1!$B$2:$G$2</c:f>
              <c:strCache>
                <c:ptCount val="6"/>
                <c:pt idx="0">
                  <c:v>&lt;25 ani</c:v>
                </c:pt>
                <c:pt idx="1">
                  <c:v>25-29 ani</c:v>
                </c:pt>
                <c:pt idx="2">
                  <c:v>30-39 ani</c:v>
                </c:pt>
                <c:pt idx="3">
                  <c:v>40-49 ani</c:v>
                </c:pt>
                <c:pt idx="4">
                  <c:v>50-55 ani</c:v>
                </c:pt>
                <c:pt idx="5">
                  <c:v>peste 55 ani</c:v>
                </c:pt>
              </c:strCache>
            </c:strRef>
          </c:cat>
          <c:val>
            <c:numRef>
              <c:f>Sheet1!$B$3:$G$3</c:f>
              <c:numCache>
                <c:formatCode>General</c:formatCode>
                <c:ptCount val="6"/>
                <c:pt idx="0">
                  <c:v>352</c:v>
                </c:pt>
                <c:pt idx="1">
                  <c:v>325</c:v>
                </c:pt>
                <c:pt idx="2">
                  <c:v>1141</c:v>
                </c:pt>
                <c:pt idx="3">
                  <c:v>1971</c:v>
                </c:pt>
                <c:pt idx="4">
                  <c:v>1599</c:v>
                </c:pt>
                <c:pt idx="5">
                  <c:v>1918</c:v>
                </c:pt>
              </c:numCache>
            </c:numRef>
          </c:val>
        </c:ser>
        <c:dLbls>
          <c:showLegendKey val="0"/>
          <c:showVal val="0"/>
          <c:showCatName val="0"/>
          <c:showSerName val="0"/>
          <c:showPercent val="1"/>
          <c:showBubbleSize val="0"/>
        </c:dLbls>
      </c:pie3DChart>
      <c:spPr>
        <a:solidFill>
          <a:srgbClr val="FFFFFF"/>
        </a:solidFill>
        <a:ln w="12700">
          <a:solidFill>
            <a:srgbClr val="FFFFFF"/>
          </a:solidFill>
          <a:prstDash val="solid"/>
        </a:ln>
      </c:spPr>
    </c:plotArea>
    <c:legend>
      <c:legendPos val="r"/>
      <c:layout>
        <c:manualLayout>
          <c:xMode val="edge"/>
          <c:yMode val="edge"/>
          <c:x val="0.704796467370713"/>
          <c:y val="0.139156994264606"/>
          <c:w val="0.284759680630472"/>
          <c:h val="0.736500826285603"/>
        </c:manualLayout>
      </c:layout>
      <c:overlay val="0"/>
      <c:spPr>
        <a:noFill/>
        <a:ln w="3175">
          <a:solidFill>
            <a:srgbClr val="000000"/>
          </a:solidFill>
          <a:prstDash val="solid"/>
        </a:ln>
      </c:spPr>
      <c:txPr>
        <a:bodyPr rot="0" spcFirstLastPara="0" vertOverflow="ellipsis" vert="horz" wrap="square" anchor="ctr" anchorCtr="1"/>
        <a:lstStyle/>
        <a:p>
          <a:pPr>
            <a:defRPr lang="en-US" sz="1010" b="1"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zero"/>
    <c:showDLblsOverMax val="0"/>
    <c:extLst>
      <c:ext uri="{0b15fc19-7d7d-44ad-8c2d-2c3a37ce22c3}">
        <chartProps xmlns="https://web.wps.cn/et/2018/main" chartId="{8ff2b262-9dab-4e6e-b72a-18a8581da57d}"/>
      </c:ext>
    </c:extLst>
  </c:chart>
  <c:spPr>
    <a:noFill/>
    <a:ln w="9525" cap="flat" cmpd="sng" algn="ctr">
      <a:noFill/>
      <a:prstDash val="solid"/>
      <a:round/>
    </a:ln>
  </c:spPr>
  <c:txPr>
    <a:bodyPr/>
    <a:lstStyle/>
    <a:p>
      <a:pPr>
        <a:defRPr lang="en-US" sz="1100"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4B9F6-552A-45EA-9C28-41A139005966}">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32737</Words>
  <Characters>186606</Characters>
  <Lines>1555</Lines>
  <Paragraphs>437</Paragraphs>
  <TotalTime>363</TotalTime>
  <ScaleCrop>false</ScaleCrop>
  <LinksUpToDate>false</LinksUpToDate>
  <CharactersWithSpaces>218906</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2025-06-25T07:11:00Z</dcterms:created>
  <dc:creator>ANDRADA</dc:creator>
  <cp:lastModifiedBy>Primaria Simian</cp:lastModifiedBy>
  <dcterms:modified xsi:type="dcterms:W3CDTF">2025-07-01T08:01:35Z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99E43F93CF9E4BEF94AE4E6B180B190E_13</vt:lpwstr>
  </property>
</Properties>
</file>